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D82BE" w14:textId="77777777" w:rsidR="00A16313" w:rsidRDefault="00A16313" w:rsidP="000049D8">
      <w:pPr>
        <w:pStyle w:val="Header"/>
        <w:tabs>
          <w:tab w:val="clear" w:pos="9639"/>
          <w:tab w:val="right" w:pos="5954"/>
        </w:tabs>
        <w:spacing w:after="240"/>
        <w:jc w:val="right"/>
        <w:rPr>
          <w:rFonts w:ascii="Calibri" w:hAnsi="Calibri"/>
        </w:rPr>
      </w:pPr>
    </w:p>
    <w:p w14:paraId="2F5302FD" w14:textId="33F3657A" w:rsidR="00420A38" w:rsidRPr="007A395D" w:rsidRDefault="00420A38" w:rsidP="000049D8">
      <w:pPr>
        <w:pStyle w:val="Header"/>
        <w:tabs>
          <w:tab w:val="clear" w:pos="9639"/>
          <w:tab w:val="right" w:pos="5954"/>
        </w:tabs>
        <w:spacing w:after="240"/>
        <w:jc w:val="right"/>
        <w:rPr>
          <w:rFonts w:ascii="Calibri" w:hAnsi="Calibri"/>
          <w:lang w:eastAsia="ko-KR"/>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1E576E">
        <w:rPr>
          <w:rFonts w:ascii="Calibri" w:hAnsi="Calibri"/>
          <w:lang w:eastAsia="ko-KR"/>
        </w:rPr>
        <w:t>DTEC5-3.4.2</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EAC61B0" w:rsidR="0080294B" w:rsidRPr="007A395D" w:rsidRDefault="00394293" w:rsidP="00037DF4">
      <w:pPr>
        <w:pStyle w:val="BodyText"/>
        <w:tabs>
          <w:tab w:val="left" w:pos="1843"/>
        </w:tabs>
        <w:rPr>
          <w:rFonts w:ascii="Calibri" w:hAnsi="Calibri" w:cs="Arial"/>
          <w:b/>
          <w:sz w:val="24"/>
          <w:szCs w:val="24"/>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91760D">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0205EE">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78151897" w:rsidR="0080294B" w:rsidRPr="007A395D" w:rsidRDefault="00394293" w:rsidP="00037DF4">
      <w:pPr>
        <w:pStyle w:val="BodyText"/>
        <w:tabs>
          <w:tab w:val="left" w:pos="1843"/>
        </w:tabs>
        <w:rPr>
          <w:rFonts w:ascii="Calibri" w:hAnsi="Calibri"/>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76F900"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p>
    <w:p w14:paraId="1AB3E246" w14:textId="189BBA80"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1C44A3" w:rsidRPr="007A395D">
        <w:rPr>
          <w:rFonts w:ascii="Calibri" w:hAnsi="Calibri"/>
        </w:rPr>
        <w:tab/>
      </w:r>
    </w:p>
    <w:p w14:paraId="01FC5420" w14:textId="16B7C898"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94293">
        <w:rPr>
          <w:rFonts w:ascii="Calibri" w:hAnsi="Calibri"/>
        </w:rPr>
        <w:t>Secretariat</w:t>
      </w:r>
    </w:p>
    <w:p w14:paraId="4834080C" w14:textId="1F426EC9" w:rsidR="00A446C9" w:rsidRPr="00605E43" w:rsidRDefault="00394293" w:rsidP="00A446C9">
      <w:pPr>
        <w:pStyle w:val="Title"/>
        <w:rPr>
          <w:rFonts w:ascii="Calibri" w:hAnsi="Calibri"/>
          <w:color w:val="0070C0"/>
          <w:lang w:eastAsia="ko-KR"/>
        </w:rPr>
      </w:pPr>
      <w:r>
        <w:rPr>
          <w:rFonts w:ascii="Calibri" w:hAnsi="Calibri"/>
          <w:color w:val="0070C0"/>
        </w:rPr>
        <w:t xml:space="preserve">Report on IMO </w:t>
      </w:r>
      <w:r w:rsidR="00044DE4">
        <w:rPr>
          <w:rFonts w:ascii="Calibri" w:hAnsi="Calibri"/>
          <w:color w:val="0070C0"/>
          <w:lang w:eastAsia="ko-KR"/>
        </w:rPr>
        <w:t>NCSR</w:t>
      </w:r>
      <w:r w:rsidR="00662239">
        <w:rPr>
          <w:rFonts w:ascii="Calibri" w:hAnsi="Calibri" w:hint="eastAsia"/>
          <w:color w:val="0070C0"/>
          <w:lang w:eastAsia="ko-KR"/>
        </w:rPr>
        <w:t xml:space="preserve"> </w:t>
      </w:r>
      <w:r w:rsidR="00044DE4">
        <w:rPr>
          <w:rFonts w:ascii="Calibri" w:hAnsi="Calibri"/>
          <w:color w:val="0070C0"/>
          <w:lang w:eastAsia="ko-KR"/>
        </w:rPr>
        <w:t>12</w:t>
      </w:r>
    </w:p>
    <w:p w14:paraId="0F258596" w14:textId="7FCEB930" w:rsidR="00A446C9" w:rsidRPr="00605E43" w:rsidRDefault="00394293" w:rsidP="00605E43">
      <w:pPr>
        <w:pStyle w:val="Heading1"/>
      </w:pPr>
      <w:r>
        <w:t>Introduction</w:t>
      </w:r>
    </w:p>
    <w:p w14:paraId="0463971F" w14:textId="57929BB5" w:rsidR="00C71042" w:rsidRDefault="00C71042" w:rsidP="00394293">
      <w:pPr>
        <w:pStyle w:val="BodyText"/>
        <w:rPr>
          <w:rFonts w:ascii="Calibri" w:hAnsi="Calibri"/>
          <w:lang w:eastAsia="ko-KR"/>
        </w:rPr>
      </w:pPr>
      <w:r w:rsidRPr="00C71042">
        <w:rPr>
          <w:rFonts w:ascii="Calibri" w:hAnsi="Calibri"/>
          <w:lang w:eastAsia="ko-KR"/>
        </w:rPr>
        <w:t xml:space="preserve">This report </w:t>
      </w:r>
      <w:r w:rsidR="00081EBE" w:rsidRPr="00C71042">
        <w:rPr>
          <w:rFonts w:ascii="Calibri" w:hAnsi="Calibri"/>
          <w:lang w:eastAsia="ko-KR"/>
        </w:rPr>
        <w:t>summarises</w:t>
      </w:r>
      <w:r w:rsidRPr="00C71042">
        <w:rPr>
          <w:rFonts w:ascii="Calibri" w:hAnsi="Calibri"/>
          <w:lang w:eastAsia="ko-KR"/>
        </w:rPr>
        <w:t xml:space="preserve"> items of interest to IALA arising from IMO </w:t>
      </w:r>
      <w:r w:rsidR="00044DE4">
        <w:rPr>
          <w:rFonts w:ascii="Calibri" w:hAnsi="Calibri"/>
          <w:lang w:eastAsia="ko-KR"/>
        </w:rPr>
        <w:t>NCSR</w:t>
      </w:r>
      <w:r w:rsidRPr="00C71042">
        <w:rPr>
          <w:rFonts w:ascii="Calibri" w:hAnsi="Calibri"/>
          <w:lang w:eastAsia="ko-KR"/>
        </w:rPr>
        <w:t xml:space="preserve"> 1</w:t>
      </w:r>
      <w:r w:rsidR="00044DE4">
        <w:rPr>
          <w:rFonts w:ascii="Calibri" w:hAnsi="Calibri"/>
          <w:lang w:eastAsia="ko-KR"/>
        </w:rPr>
        <w:t>2</w:t>
      </w:r>
      <w:r w:rsidRPr="00C71042">
        <w:rPr>
          <w:rFonts w:ascii="Calibri" w:hAnsi="Calibri"/>
          <w:lang w:eastAsia="ko-KR"/>
        </w:rPr>
        <w:t xml:space="preserve">, held from </w:t>
      </w:r>
      <w:r w:rsidR="00044DE4">
        <w:rPr>
          <w:rFonts w:ascii="Calibri" w:hAnsi="Calibri"/>
          <w:lang w:eastAsia="ko-KR"/>
        </w:rPr>
        <w:t>13</w:t>
      </w:r>
      <w:r w:rsidRPr="00C71042">
        <w:rPr>
          <w:rFonts w:ascii="Calibri" w:hAnsi="Calibri"/>
          <w:lang w:eastAsia="ko-KR"/>
        </w:rPr>
        <w:t xml:space="preserve"> to </w:t>
      </w:r>
      <w:r w:rsidR="00081EBE">
        <w:rPr>
          <w:rFonts w:ascii="Calibri" w:hAnsi="Calibri"/>
          <w:lang w:eastAsia="ko-KR"/>
        </w:rPr>
        <w:t>22</w:t>
      </w:r>
      <w:r w:rsidR="00CC28BF">
        <w:rPr>
          <w:rFonts w:ascii="Calibri" w:hAnsi="Calibri" w:hint="eastAsia"/>
          <w:lang w:eastAsia="ko-KR"/>
        </w:rPr>
        <w:t xml:space="preserve"> </w:t>
      </w:r>
      <w:r w:rsidR="00081EBE">
        <w:rPr>
          <w:rFonts w:ascii="Calibri" w:hAnsi="Calibri"/>
          <w:lang w:eastAsia="ko-KR"/>
        </w:rPr>
        <w:t>May</w:t>
      </w:r>
      <w:r w:rsidRPr="00C71042">
        <w:rPr>
          <w:rFonts w:ascii="Calibri" w:hAnsi="Calibri"/>
          <w:lang w:eastAsia="ko-KR"/>
        </w:rPr>
        <w:t xml:space="preserve"> 202</w:t>
      </w:r>
      <w:r w:rsidR="00081EBE">
        <w:rPr>
          <w:rFonts w:ascii="Calibri" w:hAnsi="Calibri"/>
          <w:lang w:eastAsia="ko-KR"/>
        </w:rPr>
        <w:t>5</w:t>
      </w:r>
      <w:r w:rsidRPr="00C71042">
        <w:rPr>
          <w:rFonts w:ascii="Calibri" w:hAnsi="Calibri"/>
          <w:lang w:eastAsia="ko-KR"/>
        </w:rPr>
        <w:t xml:space="preserve">, at the IMO Headquarters. The meeting was chaired by </w:t>
      </w:r>
      <w:r w:rsidR="00DB1479" w:rsidRPr="00DB1479">
        <w:rPr>
          <w:rFonts w:ascii="Calibri" w:hAnsi="Calibri"/>
          <w:lang w:eastAsia="ko-KR"/>
        </w:rPr>
        <w:t>Mr. J. Brouwers</w:t>
      </w:r>
      <w:r w:rsidRPr="00C71042">
        <w:rPr>
          <w:rFonts w:ascii="Calibri" w:hAnsi="Calibri"/>
          <w:lang w:eastAsia="ko-KR"/>
        </w:rPr>
        <w:t xml:space="preserve"> of the </w:t>
      </w:r>
      <w:r w:rsidR="00B51CF0" w:rsidRPr="00B51CF0">
        <w:rPr>
          <w:rFonts w:ascii="Calibri" w:hAnsi="Calibri"/>
          <w:lang w:eastAsia="ko-KR"/>
        </w:rPr>
        <w:t>Kingdom of the Netherlands</w:t>
      </w:r>
      <w:r w:rsidRPr="00C71042">
        <w:rPr>
          <w:rFonts w:ascii="Calibri" w:hAnsi="Calibri"/>
          <w:lang w:eastAsia="ko-KR"/>
        </w:rPr>
        <w:t xml:space="preserve">, supported by Vice-Chair </w:t>
      </w:r>
      <w:r w:rsidR="00B32C10" w:rsidRPr="00B32C10">
        <w:rPr>
          <w:rFonts w:ascii="Calibri" w:hAnsi="Calibri"/>
          <w:lang w:eastAsia="ko-KR"/>
        </w:rPr>
        <w:t xml:space="preserve">Mr. C. Cerda Espejo </w:t>
      </w:r>
      <w:r w:rsidR="00B32C10">
        <w:rPr>
          <w:rFonts w:ascii="Calibri" w:hAnsi="Calibri"/>
          <w:lang w:eastAsia="ko-KR"/>
        </w:rPr>
        <w:t xml:space="preserve">of </w:t>
      </w:r>
      <w:r w:rsidR="00B32C10" w:rsidRPr="00B32C10">
        <w:rPr>
          <w:rFonts w:ascii="Calibri" w:hAnsi="Calibri"/>
          <w:lang w:eastAsia="ko-KR"/>
        </w:rPr>
        <w:t>Chile</w:t>
      </w:r>
      <w:r w:rsidRPr="00C71042">
        <w:rPr>
          <w:rFonts w:ascii="Calibri" w:hAnsi="Calibri"/>
          <w:lang w:eastAsia="ko-KR"/>
        </w:rPr>
        <w:t xml:space="preserve">. IALA was represented by </w:t>
      </w:r>
      <w:r w:rsidR="00B32C10">
        <w:rPr>
          <w:rFonts w:ascii="Calibri" w:hAnsi="Calibri"/>
          <w:lang w:eastAsia="ko-KR"/>
        </w:rPr>
        <w:t>Omar F</w:t>
      </w:r>
      <w:r w:rsidR="00CC76CB">
        <w:rPr>
          <w:rFonts w:ascii="Calibri" w:hAnsi="Calibri"/>
          <w:lang w:eastAsia="ko-KR"/>
        </w:rPr>
        <w:t>r</w:t>
      </w:r>
      <w:r w:rsidR="00B32C10">
        <w:rPr>
          <w:rFonts w:ascii="Calibri" w:hAnsi="Calibri"/>
          <w:lang w:eastAsia="ko-KR"/>
        </w:rPr>
        <w:t xml:space="preserve">its Eriksson, </w:t>
      </w:r>
      <w:r w:rsidRPr="00C71042">
        <w:rPr>
          <w:rFonts w:ascii="Calibri" w:hAnsi="Calibri"/>
          <w:lang w:eastAsia="ko-KR"/>
        </w:rPr>
        <w:t>Minsu Jeon</w:t>
      </w:r>
      <w:r w:rsidR="00B32C10">
        <w:rPr>
          <w:rFonts w:ascii="Calibri" w:hAnsi="Calibri"/>
          <w:lang w:eastAsia="ko-KR"/>
        </w:rPr>
        <w:t xml:space="preserve">, </w:t>
      </w:r>
      <w:r w:rsidR="00CC28BF">
        <w:rPr>
          <w:rFonts w:ascii="Calibri" w:hAnsi="Calibri" w:hint="eastAsia"/>
          <w:lang w:eastAsia="ko-KR"/>
        </w:rPr>
        <w:t>Alisa</w:t>
      </w:r>
      <w:r w:rsidR="00B32C10">
        <w:rPr>
          <w:rFonts w:ascii="Calibri" w:hAnsi="Calibri"/>
          <w:lang w:eastAsia="ko-KR"/>
        </w:rPr>
        <w:t xml:space="preserve"> Nechyporuk, Stefan Pielmeier and Stefan Bober.</w:t>
      </w:r>
    </w:p>
    <w:p w14:paraId="71C92447" w14:textId="52EF88DB" w:rsidR="001C4813" w:rsidRPr="007B421E" w:rsidRDefault="001C4813" w:rsidP="00394293">
      <w:pPr>
        <w:pStyle w:val="BodyText"/>
        <w:rPr>
          <w:rFonts w:ascii="Calibri" w:hAnsi="Calibri"/>
          <w:lang w:eastAsia="ko-KR"/>
        </w:rPr>
      </w:pPr>
      <w:r w:rsidRPr="007B421E">
        <w:rPr>
          <w:rFonts w:ascii="Calibri" w:hAnsi="Calibri"/>
          <w:lang w:eastAsia="ko-KR"/>
        </w:rPr>
        <w:t>NCSR 12 delivered a comprehensive suite of regulatory and technical frameworks for IALA-related domains: digital communication (VDES, MSI), navigation precision (SBAS/BDS), equipment reliability (software maintenance), and digital chart/data connectivity (ENP, ECDIS S</w:t>
      </w:r>
      <w:r w:rsidRPr="007B421E">
        <w:rPr>
          <w:rFonts w:ascii="Calibri" w:hAnsi="Calibri"/>
          <w:lang w:eastAsia="ko-KR"/>
        </w:rPr>
        <w:noBreakHyphen/>
        <w:t xml:space="preserve">100 IP). </w:t>
      </w:r>
    </w:p>
    <w:p w14:paraId="53733F03" w14:textId="08AD7F6D" w:rsidR="00A446C9" w:rsidRPr="007A395D" w:rsidRDefault="00081FC9" w:rsidP="00605E43">
      <w:pPr>
        <w:pStyle w:val="Heading1"/>
      </w:pPr>
      <w:r>
        <w:rPr>
          <w:rFonts w:hint="eastAsia"/>
          <w:lang w:eastAsia="ko-KR"/>
        </w:rPr>
        <w:t>Outcomes of the meeting</w:t>
      </w:r>
    </w:p>
    <w:p w14:paraId="2D4FE0FE" w14:textId="6BD6B4A8" w:rsidR="00F155E1" w:rsidRDefault="00F155E1" w:rsidP="00394293">
      <w:pPr>
        <w:pStyle w:val="BodyText"/>
        <w:rPr>
          <w:rFonts w:ascii="Calibri" w:hAnsi="Calibri"/>
          <w:b/>
          <w:bCs/>
          <w:lang w:eastAsia="ko-KR"/>
        </w:rPr>
      </w:pPr>
      <w:r>
        <w:rPr>
          <w:rFonts w:ascii="Calibri" w:hAnsi="Calibri" w:hint="eastAsia"/>
          <w:b/>
          <w:bCs/>
          <w:lang w:eastAsia="ko-KR"/>
        </w:rPr>
        <w:t>Key points</w:t>
      </w:r>
    </w:p>
    <w:p w14:paraId="124DE895" w14:textId="74432005" w:rsidR="00D11E44" w:rsidRPr="004C754D" w:rsidRDefault="003767E3" w:rsidP="00D11E44">
      <w:pPr>
        <w:pStyle w:val="Default"/>
        <w:numPr>
          <w:ilvl w:val="0"/>
          <w:numId w:val="26"/>
        </w:numPr>
        <w:jc w:val="both"/>
        <w:rPr>
          <w:rFonts w:asciiTheme="minorHAnsi" w:hAnsiTheme="minorHAnsi" w:cstheme="minorHAnsi"/>
          <w:sz w:val="22"/>
          <w:szCs w:val="22"/>
        </w:rPr>
      </w:pPr>
      <w:r>
        <w:rPr>
          <w:rFonts w:asciiTheme="minorHAnsi" w:hAnsiTheme="minorHAnsi" w:cstheme="minorHAnsi"/>
          <w:sz w:val="22"/>
          <w:szCs w:val="22"/>
          <w:lang w:val="en-US"/>
        </w:rPr>
        <w:t>Framework</w:t>
      </w:r>
      <w:r w:rsidR="00D11E44" w:rsidRPr="004C754D">
        <w:rPr>
          <w:rFonts w:asciiTheme="minorHAnsi" w:hAnsiTheme="minorHAnsi" w:cstheme="minorHAnsi"/>
          <w:sz w:val="22"/>
          <w:szCs w:val="22"/>
          <w:lang w:val="en-US"/>
        </w:rPr>
        <w:t xml:space="preserve"> for data distribution and global IP-based connectivity between shore-based facilities and ships for ECDIS S-100 products </w:t>
      </w:r>
    </w:p>
    <w:p w14:paraId="36D5F7F3" w14:textId="248DCD30" w:rsidR="00D11E44" w:rsidRPr="0071613E" w:rsidRDefault="00D11E44" w:rsidP="00D11E44">
      <w:pPr>
        <w:pStyle w:val="Default"/>
        <w:numPr>
          <w:ilvl w:val="0"/>
          <w:numId w:val="26"/>
        </w:numPr>
        <w:jc w:val="both"/>
        <w:rPr>
          <w:rFonts w:asciiTheme="minorHAnsi" w:hAnsiTheme="minorHAnsi" w:cstheme="minorHAnsi"/>
          <w:sz w:val="22"/>
          <w:szCs w:val="22"/>
          <w:lang w:val="en-US"/>
        </w:rPr>
      </w:pPr>
      <w:r w:rsidRPr="0071613E">
        <w:rPr>
          <w:rFonts w:asciiTheme="minorHAnsi" w:hAnsiTheme="minorHAnsi" w:cstheme="minorHAnsi"/>
          <w:sz w:val="22"/>
          <w:szCs w:val="22"/>
          <w:lang w:val="en-US"/>
        </w:rPr>
        <w:t>VHF Data Exchange System (VDES)</w:t>
      </w:r>
    </w:p>
    <w:p w14:paraId="7D1FF29D" w14:textId="77777777" w:rsidR="008A6EEA" w:rsidRPr="002153B5" w:rsidRDefault="008A6EEA" w:rsidP="002153B5">
      <w:pPr>
        <w:pStyle w:val="ListParagraph"/>
        <w:numPr>
          <w:ilvl w:val="0"/>
          <w:numId w:val="26"/>
        </w:numPr>
        <w:jc w:val="both"/>
        <w:rPr>
          <w:rFonts w:asciiTheme="minorHAnsi" w:hAnsiTheme="minorHAnsi" w:cstheme="minorHAnsi"/>
          <w:color w:val="000000"/>
        </w:rPr>
      </w:pPr>
      <w:r w:rsidRPr="002153B5">
        <w:rPr>
          <w:rFonts w:asciiTheme="minorHAnsi" w:hAnsiTheme="minorHAnsi" w:cstheme="minorHAnsi"/>
          <w:color w:val="000000"/>
        </w:rPr>
        <w:t>Draft IMO position on relevant agenda items of WRC-27</w:t>
      </w:r>
    </w:p>
    <w:p w14:paraId="45A08767" w14:textId="77777777" w:rsidR="002153B5" w:rsidRPr="002153B5" w:rsidRDefault="002153B5" w:rsidP="002153B5">
      <w:pPr>
        <w:pStyle w:val="BodyText"/>
        <w:numPr>
          <w:ilvl w:val="0"/>
          <w:numId w:val="26"/>
        </w:numPr>
        <w:spacing w:after="0"/>
        <w:rPr>
          <w:rFonts w:ascii="Calibri" w:hAnsi="Calibri"/>
          <w:lang w:eastAsia="ko-KR"/>
        </w:rPr>
      </w:pPr>
      <w:r w:rsidRPr="002153B5">
        <w:rPr>
          <w:rFonts w:ascii="Calibri" w:hAnsi="Calibri"/>
          <w:lang w:eastAsia="ko-KR"/>
        </w:rPr>
        <w:t>IMO liaison on revision of Recommendation ITU-R M.1371-1 (AIS)</w:t>
      </w:r>
    </w:p>
    <w:p w14:paraId="6C907E13" w14:textId="4362C586" w:rsidR="00C92762" w:rsidRPr="00C92762" w:rsidRDefault="00D13FBE" w:rsidP="00C92762">
      <w:pPr>
        <w:pStyle w:val="Default"/>
        <w:numPr>
          <w:ilvl w:val="0"/>
          <w:numId w:val="26"/>
        </w:numPr>
        <w:jc w:val="both"/>
        <w:rPr>
          <w:rFonts w:asciiTheme="minorHAnsi" w:hAnsiTheme="minorHAnsi" w:cstheme="minorHAnsi"/>
          <w:sz w:val="22"/>
          <w:szCs w:val="22"/>
          <w:lang w:val="en-US"/>
        </w:rPr>
      </w:pPr>
      <w:r w:rsidRPr="00C92762">
        <w:rPr>
          <w:rFonts w:asciiTheme="minorHAnsi" w:hAnsiTheme="minorHAnsi" w:cstheme="minorHAnsi"/>
          <w:sz w:val="22"/>
          <w:szCs w:val="22"/>
          <w:lang w:val="en-US"/>
        </w:rPr>
        <w:t>R</w:t>
      </w:r>
      <w:r w:rsidR="00D11E44" w:rsidRPr="00C92762">
        <w:rPr>
          <w:rFonts w:asciiTheme="minorHAnsi" w:hAnsiTheme="minorHAnsi" w:cstheme="minorHAnsi"/>
          <w:sz w:val="22"/>
          <w:szCs w:val="22"/>
          <w:lang w:val="en-US"/>
        </w:rPr>
        <w:t xml:space="preserve">ecognition of augmentation systems in the Worldwide Radionavigation System </w:t>
      </w:r>
      <w:r w:rsidR="00C92762" w:rsidRPr="00C92762">
        <w:rPr>
          <w:rFonts w:asciiTheme="minorHAnsi" w:hAnsiTheme="minorHAnsi" w:cstheme="minorHAnsi"/>
          <w:sz w:val="22"/>
          <w:szCs w:val="22"/>
        </w:rPr>
        <w:t>(WWRNS)</w:t>
      </w:r>
      <w:r w:rsidR="00C92762" w:rsidRPr="00C92762">
        <w:rPr>
          <w:rFonts w:asciiTheme="minorHAnsi" w:hAnsiTheme="minorHAnsi" w:cstheme="minorHAnsi"/>
          <w:b/>
          <w:bCs/>
          <w:sz w:val="22"/>
          <w:szCs w:val="22"/>
        </w:rPr>
        <w:t xml:space="preserve"> </w:t>
      </w:r>
    </w:p>
    <w:p w14:paraId="3F9D3AAC" w14:textId="43015104" w:rsidR="001004F4" w:rsidRPr="004C754D" w:rsidRDefault="001004F4" w:rsidP="001004F4">
      <w:pPr>
        <w:pStyle w:val="Default"/>
        <w:numPr>
          <w:ilvl w:val="0"/>
          <w:numId w:val="26"/>
        </w:numPr>
        <w:jc w:val="both"/>
        <w:rPr>
          <w:rFonts w:asciiTheme="minorHAnsi" w:hAnsiTheme="minorHAnsi" w:cstheme="minorHAnsi"/>
          <w:sz w:val="22"/>
          <w:szCs w:val="22"/>
        </w:rPr>
      </w:pPr>
      <w:r w:rsidRPr="004C754D">
        <w:rPr>
          <w:rFonts w:asciiTheme="minorHAnsi" w:hAnsiTheme="minorHAnsi" w:cstheme="minorHAnsi"/>
          <w:sz w:val="22"/>
          <w:szCs w:val="22"/>
          <w:lang w:val="en-US"/>
        </w:rPr>
        <w:t xml:space="preserve">GMDSS services, including guidelines on maritime safety information (MSI) </w:t>
      </w:r>
    </w:p>
    <w:p w14:paraId="77F0E97C" w14:textId="6F7BFBAF" w:rsidR="00325B9F" w:rsidRPr="004C754D" w:rsidRDefault="00D13FBE" w:rsidP="00DC7B78">
      <w:pPr>
        <w:pStyle w:val="Default"/>
        <w:numPr>
          <w:ilvl w:val="0"/>
          <w:numId w:val="26"/>
        </w:numPr>
        <w:jc w:val="both"/>
        <w:rPr>
          <w:rFonts w:asciiTheme="minorHAnsi" w:hAnsiTheme="minorHAnsi" w:cstheme="minorHAnsi"/>
          <w:sz w:val="22"/>
          <w:szCs w:val="22"/>
        </w:rPr>
      </w:pPr>
      <w:r>
        <w:rPr>
          <w:rFonts w:asciiTheme="minorHAnsi" w:hAnsiTheme="minorHAnsi" w:cstheme="minorHAnsi"/>
          <w:sz w:val="22"/>
          <w:szCs w:val="22"/>
          <w:lang w:val="en-US"/>
        </w:rPr>
        <w:t>S</w:t>
      </w:r>
      <w:r w:rsidR="0071613E" w:rsidRPr="004C754D">
        <w:rPr>
          <w:rFonts w:asciiTheme="minorHAnsi" w:hAnsiTheme="minorHAnsi" w:cstheme="minorHAnsi"/>
          <w:sz w:val="22"/>
          <w:szCs w:val="22"/>
          <w:lang w:val="en-US"/>
        </w:rPr>
        <w:t>oftware maintenance of shipboard navigation and communication equipment and systems</w:t>
      </w:r>
    </w:p>
    <w:p w14:paraId="0FEAB08D" w14:textId="7CFA5182" w:rsidR="009967A5" w:rsidRPr="00DE3154" w:rsidRDefault="00D13FBE" w:rsidP="009967A5">
      <w:pPr>
        <w:pStyle w:val="Default"/>
        <w:numPr>
          <w:ilvl w:val="0"/>
          <w:numId w:val="26"/>
        </w:numPr>
        <w:jc w:val="both"/>
        <w:rPr>
          <w:rFonts w:asciiTheme="minorHAnsi" w:hAnsiTheme="minorHAnsi" w:cstheme="minorHAnsi"/>
          <w:sz w:val="22"/>
          <w:szCs w:val="22"/>
        </w:rPr>
      </w:pPr>
      <w:r>
        <w:rPr>
          <w:rFonts w:asciiTheme="minorHAnsi" w:hAnsiTheme="minorHAnsi" w:cstheme="minorHAnsi"/>
          <w:sz w:val="22"/>
          <w:szCs w:val="22"/>
          <w:lang w:val="en-US"/>
        </w:rPr>
        <w:t>E</w:t>
      </w:r>
      <w:r w:rsidR="009967A5" w:rsidRPr="004C754D">
        <w:rPr>
          <w:rFonts w:asciiTheme="minorHAnsi" w:hAnsiTheme="minorHAnsi" w:cstheme="minorHAnsi"/>
          <w:sz w:val="22"/>
          <w:szCs w:val="22"/>
          <w:lang w:val="en-US"/>
        </w:rPr>
        <w:t xml:space="preserve">lectronic nautical publications (ENP) </w:t>
      </w:r>
    </w:p>
    <w:p w14:paraId="2B0646DA" w14:textId="347A0C23" w:rsidR="00DE3154" w:rsidRPr="00DE3154" w:rsidRDefault="00DE3154" w:rsidP="009967A5">
      <w:pPr>
        <w:pStyle w:val="Default"/>
        <w:numPr>
          <w:ilvl w:val="0"/>
          <w:numId w:val="26"/>
        </w:numPr>
        <w:jc w:val="both"/>
        <w:rPr>
          <w:rFonts w:asciiTheme="minorHAnsi" w:hAnsiTheme="minorHAnsi" w:cstheme="minorHAnsi"/>
          <w:sz w:val="22"/>
          <w:szCs w:val="22"/>
        </w:rPr>
      </w:pPr>
      <w:r w:rsidRPr="00DE3154">
        <w:rPr>
          <w:rFonts w:asciiTheme="minorHAnsi" w:hAnsiTheme="minorHAnsi" w:cstheme="minorHAnsi"/>
          <w:sz w:val="22"/>
          <w:szCs w:val="22"/>
          <w:lang w:val="en-US"/>
        </w:rPr>
        <w:t>Digital navigation data system (NAVDAT)</w:t>
      </w:r>
    </w:p>
    <w:p w14:paraId="4294BCBF" w14:textId="77777777" w:rsidR="00021EBA" w:rsidRPr="00D11E44" w:rsidRDefault="00021EBA" w:rsidP="00D11E44">
      <w:pPr>
        <w:pStyle w:val="Default"/>
        <w:ind w:left="720"/>
        <w:jc w:val="both"/>
        <w:rPr>
          <w:rFonts w:asciiTheme="minorHAnsi" w:hAnsiTheme="minorHAnsi" w:cstheme="minorHAnsi"/>
          <w:sz w:val="22"/>
          <w:szCs w:val="22"/>
        </w:rPr>
      </w:pPr>
    </w:p>
    <w:p w14:paraId="3461EAD5" w14:textId="77777777" w:rsidR="00021EBA" w:rsidRPr="00DE2F71" w:rsidRDefault="00021EBA" w:rsidP="008934DD">
      <w:pPr>
        <w:pStyle w:val="Default"/>
        <w:spacing w:after="120"/>
        <w:jc w:val="both"/>
        <w:rPr>
          <w:rFonts w:asciiTheme="minorHAnsi" w:hAnsiTheme="minorHAnsi" w:cstheme="minorHAnsi"/>
          <w:b/>
          <w:bCs/>
          <w:sz w:val="22"/>
          <w:szCs w:val="22"/>
        </w:rPr>
      </w:pPr>
      <w:r w:rsidRPr="00DE2F71">
        <w:rPr>
          <w:rFonts w:asciiTheme="minorHAnsi" w:hAnsiTheme="minorHAnsi" w:cstheme="minorHAnsi"/>
          <w:b/>
          <w:bCs/>
          <w:sz w:val="22"/>
          <w:szCs w:val="22"/>
        </w:rPr>
        <w:t xml:space="preserve">Framework for data distribution and global IP-based connectivity between shore-based facilities and ships for ECDIS S-100 products </w:t>
      </w:r>
    </w:p>
    <w:p w14:paraId="3195C353" w14:textId="77777777" w:rsidR="00E3375D" w:rsidRPr="002276C9" w:rsidRDefault="00EA5755" w:rsidP="008934DD">
      <w:pPr>
        <w:pStyle w:val="Default"/>
        <w:spacing w:after="120"/>
        <w:jc w:val="both"/>
        <w:rPr>
          <w:rFonts w:asciiTheme="minorHAnsi" w:hAnsiTheme="minorHAnsi" w:cstheme="minorHAnsi"/>
          <w:sz w:val="22"/>
          <w:szCs w:val="22"/>
          <w:lang w:val="en-US"/>
        </w:rPr>
      </w:pPr>
      <w:r w:rsidRPr="002276C9">
        <w:rPr>
          <w:rFonts w:asciiTheme="minorHAnsi" w:hAnsiTheme="minorHAnsi" w:cstheme="minorHAnsi"/>
          <w:sz w:val="22"/>
          <w:szCs w:val="22"/>
          <w:lang w:val="en-US"/>
        </w:rPr>
        <w:t xml:space="preserve">The Maritime Safety Committee, at its 109th session, agreed on the need to develop a framework for data distribution and IP-based connectivity to fully </w:t>
      </w:r>
      <w:r w:rsidR="006E2E17" w:rsidRPr="002276C9">
        <w:rPr>
          <w:rFonts w:asciiTheme="minorHAnsi" w:hAnsiTheme="minorHAnsi" w:cstheme="minorHAnsi"/>
          <w:sz w:val="22"/>
          <w:szCs w:val="22"/>
          <w:lang w:val="en-US"/>
        </w:rPr>
        <w:t>realise</w:t>
      </w:r>
      <w:r w:rsidRPr="002276C9">
        <w:rPr>
          <w:rFonts w:asciiTheme="minorHAnsi" w:hAnsiTheme="minorHAnsi" w:cstheme="minorHAnsi"/>
          <w:sz w:val="22"/>
          <w:szCs w:val="22"/>
          <w:lang w:val="en-US"/>
        </w:rPr>
        <w:t xml:space="preserve"> the potential of S-100 capable electronic chart display and information systems (ECDIS) (MSC 109/22, paragraph 19.34.1). The Committee included this work in the 2024-2025 biennial agenda and identified its completion as essential for ensuring the timely implementation of S-100 ECDIS capabilities. </w:t>
      </w:r>
    </w:p>
    <w:p w14:paraId="23A9A69B" w14:textId="68F59D05" w:rsidR="00021EBA" w:rsidRPr="002276C9" w:rsidRDefault="00E3375D" w:rsidP="008934DD">
      <w:pPr>
        <w:pStyle w:val="Default"/>
        <w:spacing w:after="120"/>
        <w:jc w:val="both"/>
        <w:rPr>
          <w:rFonts w:asciiTheme="minorHAnsi" w:hAnsiTheme="minorHAnsi" w:cstheme="minorHAnsi"/>
          <w:sz w:val="22"/>
          <w:szCs w:val="22"/>
          <w:lang w:val="en-US"/>
        </w:rPr>
      </w:pPr>
      <w:r w:rsidRPr="002276C9">
        <w:rPr>
          <w:rFonts w:asciiTheme="minorHAnsi" w:hAnsiTheme="minorHAnsi" w:cstheme="minorHAnsi"/>
          <w:sz w:val="22"/>
          <w:szCs w:val="22"/>
          <w:lang w:val="en-US"/>
        </w:rPr>
        <w:t xml:space="preserve">The drat guidance submitted by Australia, New Zealand, the Republic of Korea, Türkiye and the United Arab Emirates (NCSR12/14) aims to establish a framework articulating and addressing the technical, operational, </w:t>
      </w:r>
      <w:r w:rsidRPr="002276C9">
        <w:rPr>
          <w:rFonts w:asciiTheme="minorHAnsi" w:hAnsiTheme="minorHAnsi" w:cstheme="minorHAnsi"/>
          <w:sz w:val="22"/>
          <w:szCs w:val="22"/>
          <w:lang w:val="en-US"/>
        </w:rPr>
        <w:lastRenderedPageBreak/>
        <w:t xml:space="preserve">and cybersecurity challenges associated with the transition to S-100 ECDIS. Core technologies such as the Maritime Connectivity Platform (MCP) and the SECOM Protocol are central to this framework. </w:t>
      </w:r>
    </w:p>
    <w:p w14:paraId="5C4CCACF" w14:textId="77777777" w:rsidR="00065E21" w:rsidRPr="002276C9" w:rsidRDefault="00065E21" w:rsidP="008934DD">
      <w:pPr>
        <w:pStyle w:val="Default"/>
        <w:spacing w:after="120"/>
        <w:jc w:val="both"/>
        <w:rPr>
          <w:rFonts w:asciiTheme="minorHAnsi" w:hAnsiTheme="minorHAnsi" w:cstheme="minorHAnsi"/>
          <w:sz w:val="22"/>
          <w:szCs w:val="22"/>
        </w:rPr>
      </w:pPr>
      <w:r w:rsidRPr="002276C9">
        <w:rPr>
          <w:rFonts w:asciiTheme="minorHAnsi" w:hAnsiTheme="minorHAnsi" w:cstheme="minorHAnsi"/>
          <w:sz w:val="22"/>
          <w:szCs w:val="22"/>
        </w:rPr>
        <w:t>NCSR 12 advanced guidance on establishing IP-based global connectivity between shore and ships to support ECDIS S</w:t>
      </w:r>
      <w:r w:rsidRPr="002276C9">
        <w:rPr>
          <w:rFonts w:asciiTheme="minorHAnsi" w:hAnsiTheme="minorHAnsi" w:cstheme="minorHAnsi"/>
          <w:sz w:val="22"/>
          <w:szCs w:val="22"/>
        </w:rPr>
        <w:noBreakHyphen/>
        <w:t>100 digital chart products (e</w:t>
      </w:r>
      <w:r w:rsidRPr="002276C9">
        <w:rPr>
          <w:rFonts w:asciiTheme="minorHAnsi" w:hAnsiTheme="minorHAnsi" w:cstheme="minorHAnsi"/>
          <w:sz w:val="22"/>
          <w:szCs w:val="22"/>
        </w:rPr>
        <w:noBreakHyphen/>
        <w:t>navigation). This work—crucial for IALA’s digital aids to navigation program—is progressing through an intersessional correspondence group ahead of NCSR 13 in June 2026.</w:t>
      </w:r>
    </w:p>
    <w:p w14:paraId="30F76963" w14:textId="5C962D87" w:rsidR="00E3375D" w:rsidRPr="002276C9" w:rsidRDefault="00E3375D" w:rsidP="008934DD">
      <w:pPr>
        <w:pStyle w:val="Default"/>
        <w:spacing w:after="120"/>
        <w:jc w:val="both"/>
        <w:rPr>
          <w:rFonts w:asciiTheme="minorHAnsi" w:hAnsiTheme="minorHAnsi" w:cstheme="minorHAnsi"/>
          <w:bCs/>
          <w:sz w:val="22"/>
          <w:szCs w:val="22"/>
        </w:rPr>
      </w:pPr>
      <w:r w:rsidRPr="00184F61">
        <w:rPr>
          <w:rFonts w:asciiTheme="minorHAnsi" w:hAnsiTheme="minorHAnsi" w:cstheme="minorHAnsi"/>
          <w:bCs/>
          <w:sz w:val="22"/>
          <w:szCs w:val="22"/>
        </w:rPr>
        <w:t xml:space="preserve">The guidance should be </w:t>
      </w:r>
      <w:r w:rsidR="00065E21" w:rsidRPr="002276C9">
        <w:rPr>
          <w:rFonts w:asciiTheme="minorHAnsi" w:hAnsiTheme="minorHAnsi" w:cstheme="minorHAnsi"/>
          <w:bCs/>
          <w:sz w:val="22"/>
          <w:szCs w:val="22"/>
        </w:rPr>
        <w:t>technology-neutral</w:t>
      </w:r>
      <w:r w:rsidRPr="00184F61">
        <w:rPr>
          <w:rFonts w:asciiTheme="minorHAnsi" w:hAnsiTheme="minorHAnsi" w:cstheme="minorHAnsi"/>
          <w:bCs/>
          <w:sz w:val="22"/>
          <w:szCs w:val="22"/>
        </w:rPr>
        <w:t xml:space="preserve"> as different technologies are capable of supporting the real-time exchange of S-100 data. SECOM and MCP are mentioned in the guidance as examples of such technologies. </w:t>
      </w:r>
    </w:p>
    <w:p w14:paraId="06CF3938" w14:textId="03E98747" w:rsidR="00E3375D" w:rsidRPr="00184F61" w:rsidRDefault="00E3375D" w:rsidP="008934DD">
      <w:pPr>
        <w:pStyle w:val="Default"/>
        <w:spacing w:after="120"/>
        <w:jc w:val="both"/>
        <w:rPr>
          <w:rFonts w:asciiTheme="minorHAnsi" w:hAnsiTheme="minorHAnsi" w:cstheme="minorHAnsi"/>
          <w:bCs/>
          <w:sz w:val="22"/>
          <w:szCs w:val="22"/>
        </w:rPr>
      </w:pPr>
      <w:r w:rsidRPr="00184F61">
        <w:rPr>
          <w:rFonts w:asciiTheme="minorHAnsi" w:hAnsiTheme="minorHAnsi" w:cstheme="minorHAnsi"/>
          <w:bCs/>
          <w:sz w:val="22"/>
          <w:szCs w:val="22"/>
        </w:rPr>
        <w:t>To address concerns about overlap between certain S-100 products and MSI disseminated via the GMDSS it, it has been clarified that any information exchanged via IP-based communications, in particular navigational and meteorological warnings and meteorological forecasts, are not part of the GMDSS.</w:t>
      </w:r>
      <w:r w:rsidRPr="00184F61">
        <w:rPr>
          <w:rFonts w:asciiTheme="minorHAnsi" w:hAnsiTheme="minorHAnsi" w:cstheme="minorHAnsi"/>
          <w:sz w:val="22"/>
          <w:szCs w:val="22"/>
        </w:rPr>
        <w:t xml:space="preserve"> </w:t>
      </w:r>
      <w:r w:rsidRPr="00184F61">
        <w:rPr>
          <w:rFonts w:asciiTheme="minorHAnsi" w:hAnsiTheme="minorHAnsi" w:cstheme="minorHAnsi"/>
          <w:bCs/>
          <w:sz w:val="22"/>
          <w:szCs w:val="22"/>
        </w:rPr>
        <w:t xml:space="preserve">The draft guidance takes a goal-based approach and sets quality of service objectives to achieve a secure, standardized and reliable connectivity between shore-based facilities, rather than setting specific criteria for radiocommunication services. </w:t>
      </w:r>
    </w:p>
    <w:p w14:paraId="56D2D150" w14:textId="260C7CD8" w:rsidR="00E3375D" w:rsidRPr="00184F61" w:rsidRDefault="002276C9" w:rsidP="008934DD">
      <w:pPr>
        <w:pStyle w:val="Default"/>
        <w:spacing w:after="120"/>
        <w:jc w:val="both"/>
        <w:rPr>
          <w:rFonts w:asciiTheme="minorHAnsi" w:hAnsiTheme="minorHAnsi" w:cstheme="minorHAnsi"/>
          <w:bCs/>
          <w:sz w:val="22"/>
          <w:szCs w:val="22"/>
        </w:rPr>
      </w:pPr>
      <w:r w:rsidRPr="00184F61">
        <w:rPr>
          <w:rFonts w:asciiTheme="minorHAnsi" w:hAnsiTheme="minorHAnsi" w:cstheme="minorHAnsi"/>
          <w:bCs/>
          <w:sz w:val="22"/>
          <w:szCs w:val="22"/>
        </w:rPr>
        <w:t>Regarding</w:t>
      </w:r>
      <w:r w:rsidR="00E3375D" w:rsidRPr="00184F61">
        <w:rPr>
          <w:rFonts w:asciiTheme="minorHAnsi" w:hAnsiTheme="minorHAnsi" w:cstheme="minorHAnsi"/>
          <w:bCs/>
          <w:sz w:val="22"/>
          <w:szCs w:val="22"/>
        </w:rPr>
        <w:t xml:space="preserve"> MCP, NCSR 12 noted that Member States may either operate their own MCP instances or authorize relevant organizations or entities (e.g. IHO, IALA or Regional ENC Coordinating Centres) to manage MCP instances on their behalf to ensure that maritime services are provided by official and authenticated sources.</w:t>
      </w:r>
    </w:p>
    <w:p w14:paraId="70B4DE33" w14:textId="77777777" w:rsidR="00E3375D" w:rsidRPr="00184F61" w:rsidRDefault="00E3375D" w:rsidP="008934DD">
      <w:pPr>
        <w:pStyle w:val="Default"/>
        <w:spacing w:after="120"/>
        <w:jc w:val="both"/>
        <w:rPr>
          <w:rFonts w:asciiTheme="minorHAnsi" w:hAnsiTheme="minorHAnsi" w:cstheme="minorHAnsi"/>
          <w:bCs/>
          <w:sz w:val="22"/>
          <w:szCs w:val="22"/>
        </w:rPr>
      </w:pPr>
      <w:r w:rsidRPr="00184F61">
        <w:rPr>
          <w:rFonts w:asciiTheme="minorHAnsi" w:hAnsiTheme="minorHAnsi" w:cstheme="minorHAnsi"/>
          <w:bCs/>
          <w:sz w:val="22"/>
          <w:szCs w:val="22"/>
        </w:rPr>
        <w:t>NCSR 12 discussed that VDES would not be able to meet the requirements outlined in the draft guidance for the distribution and exchange of S-100 data because VDES is not an IP-based communication system.</w:t>
      </w:r>
    </w:p>
    <w:p w14:paraId="4D4C2EE8" w14:textId="77777777" w:rsidR="00E244BB" w:rsidRPr="002276C9" w:rsidRDefault="00136FB1" w:rsidP="008934DD">
      <w:pPr>
        <w:pStyle w:val="Default"/>
        <w:spacing w:after="120"/>
        <w:jc w:val="both"/>
        <w:rPr>
          <w:rFonts w:asciiTheme="minorHAnsi" w:hAnsiTheme="minorHAnsi" w:cstheme="minorHAnsi"/>
          <w:sz w:val="22"/>
          <w:szCs w:val="22"/>
          <w:lang w:val="en-US"/>
        </w:rPr>
      </w:pPr>
      <w:r w:rsidRPr="002276C9">
        <w:rPr>
          <w:rFonts w:asciiTheme="minorHAnsi" w:hAnsiTheme="minorHAnsi" w:cstheme="minorHAnsi"/>
          <w:sz w:val="22"/>
          <w:szCs w:val="22"/>
          <w:lang w:val="en-US"/>
        </w:rPr>
        <w:t>The Sub-Committee progressed the development of guidance for establishing a framework for data distribution and global IP-based connectivity for shore-based facilities and ships supporting ECDIS S-100 products.  </w:t>
      </w:r>
      <w:r w:rsidR="00E244BB" w:rsidRPr="002276C9">
        <w:rPr>
          <w:rFonts w:asciiTheme="minorHAnsi" w:hAnsiTheme="minorHAnsi" w:cstheme="minorHAnsi"/>
          <w:sz w:val="22"/>
          <w:szCs w:val="22"/>
          <w:lang w:val="en-US"/>
        </w:rPr>
        <w:t>This links to the revised ECDIS Performance Standard MSC.530(106), applying to installations from 1 January 2029 (with dual compliance permitted 2026–2029).</w:t>
      </w:r>
    </w:p>
    <w:p w14:paraId="596952BD" w14:textId="55A7E57C" w:rsidR="00184F61" w:rsidRPr="00184F61" w:rsidRDefault="00136FB1" w:rsidP="008934DD">
      <w:pPr>
        <w:pStyle w:val="Default"/>
        <w:spacing w:after="120"/>
        <w:jc w:val="both"/>
        <w:rPr>
          <w:rFonts w:asciiTheme="minorHAnsi" w:hAnsiTheme="minorHAnsi" w:cstheme="minorHAnsi"/>
          <w:sz w:val="22"/>
          <w:szCs w:val="22"/>
          <w:lang w:val="en-US"/>
        </w:rPr>
      </w:pPr>
      <w:r w:rsidRPr="002276C9">
        <w:rPr>
          <w:rFonts w:asciiTheme="minorHAnsi" w:hAnsiTheme="minorHAnsi" w:cstheme="minorHAnsi"/>
          <w:sz w:val="22"/>
          <w:szCs w:val="22"/>
          <w:lang w:val="en-US"/>
        </w:rPr>
        <w:t>The Sub-Committee established a correspondence group</w:t>
      </w:r>
      <w:r w:rsidR="002276C9" w:rsidRPr="002276C9">
        <w:rPr>
          <w:rFonts w:asciiTheme="minorHAnsi" w:hAnsiTheme="minorHAnsi" w:cstheme="minorHAnsi"/>
          <w:sz w:val="22"/>
          <w:szCs w:val="22"/>
          <w:lang w:val="en-US"/>
        </w:rPr>
        <w:t xml:space="preserve"> (CG)</w:t>
      </w:r>
      <w:r w:rsidR="002276C9" w:rsidRPr="00184F61">
        <w:rPr>
          <w:rFonts w:asciiTheme="minorHAnsi" w:hAnsiTheme="minorHAnsi" w:cstheme="minorHAnsi"/>
          <w:bCs/>
          <w:sz w:val="22"/>
          <w:szCs w:val="22"/>
        </w:rPr>
        <w:t>, coordinated by Australia</w:t>
      </w:r>
      <w:r w:rsidR="002276C9" w:rsidRPr="002276C9">
        <w:rPr>
          <w:rFonts w:asciiTheme="minorHAnsi" w:hAnsiTheme="minorHAnsi" w:cstheme="minorHAnsi"/>
          <w:bCs/>
          <w:sz w:val="22"/>
          <w:szCs w:val="22"/>
        </w:rPr>
        <w:t>,</w:t>
      </w:r>
      <w:r w:rsidRPr="002276C9">
        <w:rPr>
          <w:rFonts w:asciiTheme="minorHAnsi" w:hAnsiTheme="minorHAnsi" w:cstheme="minorHAnsi"/>
          <w:sz w:val="22"/>
          <w:szCs w:val="22"/>
          <w:lang w:val="en-US"/>
        </w:rPr>
        <w:t xml:space="preserve"> to continue to progress the work intersessionally and report back to NCSR 13</w:t>
      </w:r>
      <w:r w:rsidR="005232B8" w:rsidRPr="002276C9">
        <w:rPr>
          <w:rFonts w:asciiTheme="minorHAnsi" w:hAnsiTheme="minorHAnsi" w:cstheme="minorHAnsi"/>
          <w:sz w:val="22"/>
          <w:szCs w:val="22"/>
          <w:lang w:val="en-US"/>
        </w:rPr>
        <w:t xml:space="preserve"> (June 2026).</w:t>
      </w:r>
      <w:r w:rsidRPr="002276C9">
        <w:rPr>
          <w:rFonts w:asciiTheme="minorHAnsi" w:hAnsiTheme="minorHAnsi" w:cstheme="minorHAnsi"/>
          <w:sz w:val="22"/>
          <w:szCs w:val="22"/>
          <w:lang w:val="en-US"/>
        </w:rPr>
        <w:t> </w:t>
      </w:r>
      <w:r w:rsidR="00184F61" w:rsidRPr="00184F61">
        <w:rPr>
          <w:rFonts w:asciiTheme="minorHAnsi" w:hAnsiTheme="minorHAnsi" w:cstheme="minorHAnsi"/>
          <w:bCs/>
          <w:sz w:val="22"/>
          <w:szCs w:val="22"/>
        </w:rPr>
        <w:t xml:space="preserve">The CG is tasked to review and further develop the guidance for establishing a framework for data distribution and global IP-based connectivity for shore-based facilities and ships supporting ECDIS S-100 products and to develop a list of elements associated with the implementation of S-100 capable ECDIS. </w:t>
      </w:r>
    </w:p>
    <w:p w14:paraId="341BA7BC" w14:textId="23178AFB" w:rsidR="002276C9" w:rsidRPr="00184F61" w:rsidRDefault="00184F61" w:rsidP="008934DD">
      <w:pPr>
        <w:pStyle w:val="Default"/>
        <w:spacing w:after="120"/>
        <w:jc w:val="both"/>
        <w:rPr>
          <w:rFonts w:asciiTheme="minorHAnsi" w:hAnsiTheme="minorHAnsi" w:cstheme="minorHAnsi"/>
          <w:bCs/>
          <w:sz w:val="22"/>
          <w:szCs w:val="22"/>
        </w:rPr>
      </w:pPr>
      <w:r w:rsidRPr="00184F61">
        <w:rPr>
          <w:rFonts w:asciiTheme="minorHAnsi" w:hAnsiTheme="minorHAnsi" w:cstheme="minorHAnsi"/>
          <w:bCs/>
          <w:sz w:val="22"/>
          <w:szCs w:val="22"/>
        </w:rPr>
        <w:t>An interim report should be submitted to the Joint IMO/ITU EG meeting (6 to 12 October 2025) and the final report to NCSR 13.</w:t>
      </w:r>
    </w:p>
    <w:p w14:paraId="3CE60F7C" w14:textId="77777777" w:rsidR="00184F61" w:rsidRPr="00184F61" w:rsidRDefault="00184F61" w:rsidP="008934DD">
      <w:pPr>
        <w:pStyle w:val="Default"/>
        <w:spacing w:after="120"/>
        <w:jc w:val="both"/>
        <w:rPr>
          <w:rFonts w:asciiTheme="minorHAnsi" w:hAnsiTheme="minorHAnsi" w:cstheme="minorHAnsi"/>
          <w:bCs/>
          <w:sz w:val="22"/>
          <w:szCs w:val="22"/>
        </w:rPr>
      </w:pPr>
      <w:r w:rsidRPr="00184F61">
        <w:rPr>
          <w:rFonts w:asciiTheme="minorHAnsi" w:hAnsiTheme="minorHAnsi" w:cstheme="minorHAnsi"/>
          <w:bCs/>
          <w:sz w:val="22"/>
          <w:szCs w:val="22"/>
        </w:rPr>
        <w:t>NCSR 12 encourages all stakeholders, in particular IHO, IALA and IEC, to continue progressing the S-100-related work in their own domains to enable a timely establishment and operation of an S-100 framework for distribution of S-100 data to ships.</w:t>
      </w:r>
    </w:p>
    <w:p w14:paraId="68BB06DD" w14:textId="77777777" w:rsidR="00501156" w:rsidRPr="00DE2F71" w:rsidRDefault="00501156" w:rsidP="008934DD">
      <w:pPr>
        <w:pStyle w:val="Default"/>
        <w:spacing w:after="120"/>
        <w:jc w:val="both"/>
        <w:rPr>
          <w:rFonts w:asciiTheme="minorHAnsi" w:hAnsiTheme="minorHAnsi" w:cstheme="minorHAnsi"/>
          <w:b/>
          <w:bCs/>
          <w:sz w:val="22"/>
          <w:szCs w:val="22"/>
        </w:rPr>
      </w:pPr>
      <w:r w:rsidRPr="00DE2F71">
        <w:rPr>
          <w:rFonts w:asciiTheme="minorHAnsi" w:hAnsiTheme="minorHAnsi" w:cstheme="minorHAnsi"/>
          <w:b/>
          <w:bCs/>
          <w:sz w:val="22"/>
          <w:szCs w:val="22"/>
        </w:rPr>
        <w:t xml:space="preserve">VHF Data Exchange System (VDES) </w:t>
      </w:r>
    </w:p>
    <w:p w14:paraId="6F671984" w14:textId="163A69FB" w:rsidR="004C0C05" w:rsidRPr="00DE2F71" w:rsidRDefault="004C0C05" w:rsidP="008934DD">
      <w:pPr>
        <w:spacing w:after="120"/>
        <w:jc w:val="both"/>
        <w:rPr>
          <w:rFonts w:asciiTheme="minorHAnsi" w:hAnsiTheme="minorHAnsi" w:cstheme="minorHAnsi"/>
          <w:color w:val="000000"/>
          <w:lang w:val="en-US"/>
        </w:rPr>
      </w:pPr>
      <w:r w:rsidRPr="00DE2F71">
        <w:rPr>
          <w:rFonts w:asciiTheme="minorHAnsi" w:hAnsiTheme="minorHAnsi" w:cstheme="minorHAnsi"/>
          <w:color w:val="000000"/>
          <w:lang w:val="en-US"/>
        </w:rPr>
        <w:t>The Sub-Committee agreed to draft amendments to Chapter V and the appendix of the International Convention for the Safety of Life at Sea (SOLAS) to introduce the VHF Data Exchange System (VDES) as an alternative shipborne navigational system that meets the current requirements for the Automatic Identification System (AIS)</w:t>
      </w:r>
      <w:r w:rsidR="00EF72D2" w:rsidRPr="00EF72D2">
        <w:rPr>
          <w:rFonts w:asciiTheme="minorHAnsi" w:hAnsiTheme="minorHAnsi" w:cstheme="minorHAnsi"/>
          <w:color w:val="000000"/>
          <w:lang w:val="en-US"/>
        </w:rPr>
        <w:t>, as well as consequential amendments to the 1994 HSC Code and 2000 HSC Code, and associated performance standards and guidelines, to introduce the carriage of VDES.</w:t>
      </w:r>
      <w:r w:rsidRPr="00DE2F71">
        <w:rPr>
          <w:rFonts w:asciiTheme="minorHAnsi" w:hAnsiTheme="minorHAnsi" w:cstheme="minorHAnsi"/>
          <w:color w:val="000000"/>
          <w:lang w:val="en-US"/>
        </w:rPr>
        <w:t xml:space="preserve"> These proposed amendments were submitted to the Maritime Safety Committee (MSC) for approval at its next session (MSC 110), with the goal of adoption at MSC 111 in 2026 and entry into force on 1 January 2028.</w:t>
      </w:r>
    </w:p>
    <w:p w14:paraId="614ADD4E" w14:textId="77777777" w:rsidR="004C0C05" w:rsidRPr="00DE2F71" w:rsidRDefault="004C0C05" w:rsidP="008934DD">
      <w:pPr>
        <w:spacing w:after="120"/>
        <w:jc w:val="both"/>
        <w:rPr>
          <w:rFonts w:asciiTheme="minorHAnsi" w:hAnsiTheme="minorHAnsi" w:cstheme="minorHAnsi"/>
          <w:color w:val="000000"/>
          <w:lang w:val="en-US"/>
        </w:rPr>
      </w:pPr>
      <w:r w:rsidRPr="00DE2F71">
        <w:rPr>
          <w:rFonts w:asciiTheme="minorHAnsi" w:hAnsiTheme="minorHAnsi" w:cstheme="minorHAnsi"/>
          <w:color w:val="000000"/>
          <w:lang w:val="en-US"/>
        </w:rPr>
        <w:t>In addition, the Sub-Committee agreed to prepare amendments to related instruments, including draft MSC resolutions on Performance Standards for Shipborne VDES and the Introduction of VDES, as well as a draft MSC circular providing Guidelines for the Operational Use of VDES. These documents are also expected to be approved alongside the SOLAS amendments.</w:t>
      </w:r>
    </w:p>
    <w:p w14:paraId="1018D906" w14:textId="75CCABE1" w:rsidR="004C0C05" w:rsidRPr="00DE2F71" w:rsidRDefault="004C0C05" w:rsidP="008934DD">
      <w:pPr>
        <w:spacing w:after="120"/>
        <w:jc w:val="both"/>
        <w:rPr>
          <w:rFonts w:asciiTheme="minorHAnsi" w:hAnsiTheme="minorHAnsi" w:cstheme="minorHAnsi"/>
          <w:color w:val="000000"/>
          <w:lang w:val="en-US"/>
        </w:rPr>
      </w:pPr>
      <w:r w:rsidRPr="00DE2F71">
        <w:rPr>
          <w:rFonts w:asciiTheme="minorHAnsi" w:hAnsiTheme="minorHAnsi" w:cstheme="minorHAnsi"/>
          <w:color w:val="000000"/>
          <w:lang w:val="en-US"/>
        </w:rPr>
        <w:t xml:space="preserve">In accordance with procedures outlined by MSC 103, the Sub-Committee discussed the most appropriate entry-into-force date for the SOLAS amendments enabling VDES. It concluded that adoption should proceed as soon as possible, emphasising that 1 January 2028 aligns with the standard four-year SOLAS amendment </w:t>
      </w:r>
      <w:r w:rsidRPr="00DE2F71">
        <w:rPr>
          <w:rFonts w:asciiTheme="minorHAnsi" w:hAnsiTheme="minorHAnsi" w:cstheme="minorHAnsi"/>
          <w:color w:val="000000"/>
          <w:lang w:val="en-US"/>
        </w:rPr>
        <w:lastRenderedPageBreak/>
        <w:t xml:space="preserve">cycle. Delaying VDES implementation to 2030 or later was seen as a significant risk to technological progress in the maritime sector, which is a strategic priority for the </w:t>
      </w:r>
      <w:r w:rsidR="00D85491" w:rsidRPr="00DE2F71">
        <w:rPr>
          <w:rFonts w:asciiTheme="minorHAnsi" w:hAnsiTheme="minorHAnsi" w:cstheme="minorHAnsi"/>
          <w:color w:val="000000"/>
          <w:lang w:val="en-US"/>
        </w:rPr>
        <w:t>Organisation</w:t>
      </w:r>
      <w:r w:rsidRPr="00DE2F71">
        <w:rPr>
          <w:rFonts w:asciiTheme="minorHAnsi" w:hAnsiTheme="minorHAnsi" w:cstheme="minorHAnsi"/>
          <w:color w:val="000000"/>
          <w:lang w:val="en-US"/>
        </w:rPr>
        <w:t>.</w:t>
      </w:r>
    </w:p>
    <w:p w14:paraId="244A6CEF" w14:textId="6B120A38" w:rsidR="004C0C05" w:rsidRPr="00DE2F71" w:rsidRDefault="004C0C05" w:rsidP="008934DD">
      <w:pPr>
        <w:spacing w:after="120"/>
        <w:jc w:val="both"/>
        <w:rPr>
          <w:rFonts w:asciiTheme="minorHAnsi" w:hAnsiTheme="minorHAnsi" w:cstheme="minorHAnsi"/>
          <w:color w:val="000000"/>
          <w:lang w:val="en-US"/>
        </w:rPr>
      </w:pPr>
      <w:r w:rsidRPr="00DE2F71">
        <w:rPr>
          <w:rFonts w:asciiTheme="minorHAnsi" w:hAnsiTheme="minorHAnsi" w:cstheme="minorHAnsi"/>
          <w:color w:val="000000"/>
          <w:lang w:val="en-US"/>
        </w:rPr>
        <w:t xml:space="preserve">Therefore, it </w:t>
      </w:r>
      <w:r w:rsidR="00D85491" w:rsidRPr="00DE2F71">
        <w:rPr>
          <w:rFonts w:asciiTheme="minorHAnsi" w:hAnsiTheme="minorHAnsi" w:cstheme="minorHAnsi"/>
          <w:color w:val="000000"/>
          <w:lang w:val="en-US"/>
        </w:rPr>
        <w:t>was</w:t>
      </w:r>
      <w:r w:rsidRPr="00DE2F71">
        <w:rPr>
          <w:rFonts w:asciiTheme="minorHAnsi" w:hAnsiTheme="minorHAnsi" w:cstheme="minorHAnsi"/>
          <w:color w:val="000000"/>
          <w:lang w:val="en-US"/>
        </w:rPr>
        <w:t xml:space="preserve"> strongly recommended that the Sub-Committee propose these SOLAS amendments and related documents for urgent approval at MSC 110, aiming for formal adoption at MSC 111 and implementation starting 1 January 2028.</w:t>
      </w:r>
    </w:p>
    <w:p w14:paraId="5641D7AD" w14:textId="77777777" w:rsidR="004C0C05" w:rsidRPr="00DE2F71" w:rsidRDefault="004C0C05" w:rsidP="008934DD">
      <w:pPr>
        <w:spacing w:after="120"/>
        <w:jc w:val="both"/>
        <w:rPr>
          <w:rFonts w:asciiTheme="minorHAnsi" w:hAnsiTheme="minorHAnsi" w:cstheme="minorHAnsi"/>
          <w:color w:val="000000"/>
          <w:lang w:val="en-US"/>
        </w:rPr>
      </w:pPr>
      <w:r w:rsidRPr="00DE2F71">
        <w:rPr>
          <w:rFonts w:asciiTheme="minorHAnsi" w:hAnsiTheme="minorHAnsi" w:cstheme="minorHAnsi"/>
          <w:color w:val="000000"/>
          <w:lang w:val="en-US"/>
        </w:rPr>
        <w:t>To support this work, a correspondence group, including IALA experts, has been established to develop guidelines for shore-based VDES infrastructure, focusing on issues such as resource coordination and data authentication.</w:t>
      </w:r>
    </w:p>
    <w:p w14:paraId="04B09A72" w14:textId="77777777" w:rsidR="003C1BB1" w:rsidRPr="003C1BB1" w:rsidRDefault="003C1BB1" w:rsidP="008934DD">
      <w:pPr>
        <w:spacing w:after="120"/>
        <w:jc w:val="both"/>
        <w:rPr>
          <w:rFonts w:asciiTheme="minorHAnsi" w:hAnsiTheme="minorHAnsi" w:cstheme="minorHAnsi"/>
          <w:b/>
          <w:bCs/>
          <w:color w:val="000000"/>
        </w:rPr>
      </w:pPr>
      <w:r w:rsidRPr="003C1BB1">
        <w:rPr>
          <w:rFonts w:asciiTheme="minorHAnsi" w:hAnsiTheme="minorHAnsi" w:cstheme="minorHAnsi"/>
          <w:b/>
          <w:bCs/>
          <w:color w:val="000000"/>
        </w:rPr>
        <w:t>Draft IMO position on relevant agenda items of WRC-27</w:t>
      </w:r>
    </w:p>
    <w:p w14:paraId="0621C023" w14:textId="00B7D454" w:rsidR="003C1BB1" w:rsidRPr="003C1BB1" w:rsidRDefault="003C1BB1" w:rsidP="008934DD">
      <w:pPr>
        <w:spacing w:after="120"/>
        <w:jc w:val="both"/>
        <w:rPr>
          <w:rFonts w:asciiTheme="minorHAnsi" w:hAnsiTheme="minorHAnsi" w:cstheme="minorHAnsi"/>
          <w:color w:val="000000"/>
        </w:rPr>
      </w:pPr>
      <w:r w:rsidRPr="003C1BB1">
        <w:rPr>
          <w:rFonts w:asciiTheme="minorHAnsi" w:hAnsiTheme="minorHAnsi" w:cstheme="minorHAnsi"/>
          <w:color w:val="000000"/>
        </w:rPr>
        <w:t xml:space="preserve">NCSR 12 has prepared the draft IMO position for the </w:t>
      </w:r>
      <w:r>
        <w:rPr>
          <w:rFonts w:asciiTheme="minorHAnsi" w:hAnsiTheme="minorHAnsi" w:cstheme="minorHAnsi"/>
          <w:color w:val="000000"/>
        </w:rPr>
        <w:t>World Radio</w:t>
      </w:r>
      <w:r w:rsidRPr="003C1BB1">
        <w:rPr>
          <w:rFonts w:asciiTheme="minorHAnsi" w:hAnsiTheme="minorHAnsi" w:cstheme="minorHAnsi"/>
          <w:color w:val="000000"/>
        </w:rPr>
        <w:t xml:space="preserve"> Communication Conference 2027 in October/November 2027 (WRC-27). The draft IMO position relates to agenda items 1.2, 1.5, 1.9, 1.11, 1.12, 1.16, 2, 4 and 10 of WRC-27.</w:t>
      </w:r>
    </w:p>
    <w:p w14:paraId="57D4C572" w14:textId="290ECF91" w:rsidR="003C1BB1" w:rsidRPr="003C1BB1" w:rsidRDefault="003C1BB1" w:rsidP="008934DD">
      <w:pPr>
        <w:spacing w:after="120"/>
        <w:jc w:val="both"/>
        <w:rPr>
          <w:rFonts w:asciiTheme="minorHAnsi" w:hAnsiTheme="minorHAnsi" w:cstheme="minorHAnsi"/>
          <w:color w:val="000000"/>
        </w:rPr>
      </w:pPr>
      <w:r w:rsidRPr="003C1BB1">
        <w:rPr>
          <w:rFonts w:asciiTheme="minorHAnsi" w:hAnsiTheme="minorHAnsi" w:cstheme="minorHAnsi"/>
          <w:color w:val="000000"/>
        </w:rPr>
        <w:t xml:space="preserve">With regards to agenda item 1.12 of WRC-27, the NCSR 12 supported the continued allocation of the frequency band 1 645.5-1 646.5 MHz for the mobile-satellite service, in particular to enable its use for distress, safety and communications by the Fleet Safety service and to complement the bands of RR 5.353A. </w:t>
      </w:r>
      <w:r w:rsidRPr="003C1BB1">
        <w:rPr>
          <w:rFonts w:asciiTheme="minorHAnsi" w:hAnsiTheme="minorHAnsi" w:cstheme="minorHAnsi"/>
          <w:color w:val="000000"/>
        </w:rPr>
        <w:br/>
        <w:t xml:space="preserve">With regards to agenda item 10 of WRC-27, the IMO supports the inclusion of item 2.7 on the improvement of the </w:t>
      </w:r>
      <w:r>
        <w:rPr>
          <w:rFonts w:asciiTheme="minorHAnsi" w:hAnsiTheme="minorHAnsi" w:cstheme="minorHAnsi"/>
          <w:color w:val="000000"/>
        </w:rPr>
        <w:t>utilisation</w:t>
      </w:r>
      <w:r w:rsidRPr="003C1BB1">
        <w:rPr>
          <w:rFonts w:asciiTheme="minorHAnsi" w:hAnsiTheme="minorHAnsi" w:cstheme="minorHAnsi"/>
          <w:color w:val="000000"/>
        </w:rPr>
        <w:t xml:space="preserve"> of VHF maritime radiocommunication in the agenda of WRC-31. </w:t>
      </w:r>
    </w:p>
    <w:p w14:paraId="18A7923D" w14:textId="3428FF8E" w:rsidR="003C1BB1" w:rsidRDefault="003C1BB1" w:rsidP="008934DD">
      <w:pPr>
        <w:spacing w:after="120"/>
        <w:jc w:val="both"/>
        <w:rPr>
          <w:rFonts w:asciiTheme="minorHAnsi" w:hAnsiTheme="minorHAnsi" w:cstheme="minorHAnsi"/>
          <w:color w:val="000000"/>
        </w:rPr>
      </w:pPr>
      <w:r w:rsidRPr="003C1BB1">
        <w:rPr>
          <w:rFonts w:asciiTheme="minorHAnsi" w:hAnsiTheme="minorHAnsi" w:cstheme="minorHAnsi"/>
          <w:color w:val="000000"/>
        </w:rPr>
        <w:t>The draft IMO position will be forwarded to MSC 111 for approval and for submission to the ITU-R CPM 27-2. NCSR 13 will submit the final IMO position to MSC 112 (November/December 2026). The Joint IMO/ITU Experts Group is instructed</w:t>
      </w:r>
      <w:r>
        <w:rPr>
          <w:rFonts w:asciiTheme="minorHAnsi" w:hAnsiTheme="minorHAnsi" w:cstheme="minorHAnsi"/>
          <w:color w:val="000000"/>
        </w:rPr>
        <w:t xml:space="preserve"> to review the finalised</w:t>
      </w:r>
      <w:r w:rsidRPr="003C1BB1">
        <w:rPr>
          <w:rFonts w:asciiTheme="minorHAnsi" w:hAnsiTheme="minorHAnsi" w:cstheme="minorHAnsi"/>
          <w:color w:val="000000"/>
        </w:rPr>
        <w:t xml:space="preserve"> draft IMO position, in particular agenda item 10 of WRC-27, at its next meeting and advise NCSR 13.</w:t>
      </w:r>
    </w:p>
    <w:p w14:paraId="06942497" w14:textId="77777777" w:rsidR="00F44D86" w:rsidRPr="00F44D86" w:rsidRDefault="00F44D86" w:rsidP="008934DD">
      <w:pPr>
        <w:spacing w:after="120"/>
        <w:jc w:val="both"/>
        <w:rPr>
          <w:rFonts w:asciiTheme="minorHAnsi" w:hAnsiTheme="minorHAnsi" w:cstheme="minorHAnsi"/>
          <w:b/>
          <w:bCs/>
          <w:color w:val="000000"/>
        </w:rPr>
      </w:pPr>
      <w:r w:rsidRPr="00F44D86">
        <w:rPr>
          <w:rFonts w:asciiTheme="minorHAnsi" w:hAnsiTheme="minorHAnsi" w:cstheme="minorHAnsi"/>
          <w:b/>
          <w:bCs/>
          <w:color w:val="000000"/>
        </w:rPr>
        <w:t>IMO liaison on revision of Recommendation ITU-R M.1371-1 (AIS)</w:t>
      </w:r>
    </w:p>
    <w:p w14:paraId="7C4C5E5D" w14:textId="21F7FCAC" w:rsidR="00F44D86" w:rsidRPr="00F44D86" w:rsidRDefault="00F44D86" w:rsidP="008934DD">
      <w:pPr>
        <w:spacing w:after="120"/>
        <w:jc w:val="both"/>
        <w:rPr>
          <w:rFonts w:asciiTheme="minorHAnsi" w:hAnsiTheme="minorHAnsi" w:cstheme="minorHAnsi"/>
          <w:color w:val="000000"/>
        </w:rPr>
      </w:pPr>
      <w:r w:rsidRPr="00F44D86">
        <w:rPr>
          <w:rFonts w:asciiTheme="minorHAnsi" w:hAnsiTheme="minorHAnsi" w:cstheme="minorHAnsi"/>
          <w:color w:val="000000"/>
        </w:rPr>
        <w:t xml:space="preserve">NCSR 12 has </w:t>
      </w:r>
      <w:r>
        <w:rPr>
          <w:rFonts w:asciiTheme="minorHAnsi" w:hAnsiTheme="minorHAnsi" w:cstheme="minorHAnsi"/>
          <w:color w:val="000000"/>
        </w:rPr>
        <w:t>finalised</w:t>
      </w:r>
      <w:r w:rsidRPr="00F44D86">
        <w:rPr>
          <w:rFonts w:asciiTheme="minorHAnsi" w:hAnsiTheme="minorHAnsi" w:cstheme="minorHAnsi"/>
          <w:color w:val="000000"/>
        </w:rPr>
        <w:t xml:space="preserve"> the draft reply liaison statement to ITU-R WP 5B on revision of Recommendation ITU-R M.1371-5. This includes the modification of table A7-8 (Type of ships), the inclusion of a VDES capability indicator in table A7-34 (AIS Message 24, part B) and a clarification of the IMO number contained in table A7-7 (Message 5): "IMO number parameter should be in accordance with the IMO ship identification number scheme adopted by IMO (Resolution A.1117(30)). If the ship does not have an IMO number, an official flag State number should be used."</w:t>
      </w:r>
    </w:p>
    <w:p w14:paraId="18CD07C1" w14:textId="77777777" w:rsidR="00F44D86" w:rsidRPr="00F44D86" w:rsidRDefault="00F44D86" w:rsidP="008934DD">
      <w:pPr>
        <w:spacing w:after="120"/>
        <w:jc w:val="both"/>
        <w:rPr>
          <w:rFonts w:asciiTheme="minorHAnsi" w:hAnsiTheme="minorHAnsi" w:cstheme="minorHAnsi"/>
          <w:color w:val="000000"/>
        </w:rPr>
      </w:pPr>
      <w:r w:rsidRPr="00F44D86">
        <w:rPr>
          <w:rFonts w:asciiTheme="minorHAnsi" w:hAnsiTheme="minorHAnsi" w:cstheme="minorHAnsi"/>
          <w:color w:val="000000"/>
        </w:rPr>
        <w:t>Regarding the proposed inclusion of a new parameter "crewing status" in Table A7-3 (Messages 1, 2, 3: Position reports), this proposal can only be considered after the adoption of the non-mandatory MASS Code by the Maritime Safety Committee.</w:t>
      </w:r>
    </w:p>
    <w:p w14:paraId="0CAF353B" w14:textId="77777777" w:rsidR="00F44D86" w:rsidRPr="00F44D86" w:rsidRDefault="00F44D86" w:rsidP="008934DD">
      <w:pPr>
        <w:spacing w:after="120"/>
        <w:jc w:val="both"/>
        <w:rPr>
          <w:rFonts w:asciiTheme="minorHAnsi" w:hAnsiTheme="minorHAnsi" w:cstheme="minorHAnsi"/>
          <w:color w:val="000000"/>
        </w:rPr>
      </w:pPr>
      <w:r w:rsidRPr="00F44D86">
        <w:rPr>
          <w:rFonts w:asciiTheme="minorHAnsi" w:hAnsiTheme="minorHAnsi" w:cstheme="minorHAnsi"/>
          <w:color w:val="000000"/>
        </w:rPr>
        <w:t>Having noted that ITU-R WP 5B had already considered the issue of blocking of the AIS signal reception by the operation of VHF radiotelephony nearby, NCSR 12 saw no need to inform ITU-R WP 5B of this issue again via a liaison statement.</w:t>
      </w:r>
    </w:p>
    <w:p w14:paraId="73C1FFE5" w14:textId="0E7C56C2" w:rsidR="00B93ADD" w:rsidRPr="00DE2F71" w:rsidRDefault="00B93ADD" w:rsidP="008934DD">
      <w:pPr>
        <w:pStyle w:val="Default"/>
        <w:spacing w:after="120"/>
        <w:jc w:val="both"/>
        <w:rPr>
          <w:rFonts w:asciiTheme="minorHAnsi" w:hAnsiTheme="minorHAnsi" w:cstheme="minorHAnsi"/>
          <w:b/>
          <w:bCs/>
          <w:sz w:val="22"/>
          <w:szCs w:val="22"/>
        </w:rPr>
      </w:pPr>
      <w:r w:rsidRPr="00DE2F71">
        <w:rPr>
          <w:rFonts w:asciiTheme="minorHAnsi" w:hAnsiTheme="minorHAnsi" w:cstheme="minorHAnsi"/>
          <w:b/>
          <w:bCs/>
          <w:sz w:val="22"/>
          <w:szCs w:val="22"/>
        </w:rPr>
        <w:t xml:space="preserve">Recognition of augmentation systems in the Worldwide Radionavigation System (WWRNS) </w:t>
      </w:r>
    </w:p>
    <w:p w14:paraId="0BD96653" w14:textId="05BE2329" w:rsidR="00F319B8" w:rsidRPr="00DE2F71" w:rsidRDefault="00F319B8" w:rsidP="008934DD">
      <w:pPr>
        <w:spacing w:after="120"/>
        <w:jc w:val="both"/>
        <w:rPr>
          <w:rFonts w:asciiTheme="minorHAnsi" w:hAnsiTheme="minorHAnsi" w:cstheme="minorHAnsi"/>
          <w:lang w:val="en-US"/>
        </w:rPr>
      </w:pPr>
      <w:r w:rsidRPr="00F319B8">
        <w:rPr>
          <w:rFonts w:asciiTheme="minorHAnsi" w:hAnsiTheme="minorHAnsi" w:cstheme="minorHAnsi"/>
          <w:lang w:val="en-US"/>
        </w:rPr>
        <w:t>The NCSR 12 approved draft amendments to IMO Resolution A.1046(27) on the Worldwide Radionavigation System. The updates introduce procedures and performance standards for GNSS augmentation systems</w:t>
      </w:r>
      <w:r w:rsidR="00CF4008" w:rsidRPr="00DE2F71">
        <w:rPr>
          <w:rFonts w:asciiTheme="minorHAnsi" w:hAnsiTheme="minorHAnsi" w:cstheme="minorHAnsi"/>
          <w:lang w:val="en-US"/>
        </w:rPr>
        <w:t>, such as SBAS, DFMC SBAS, and ARAIM, aimed at enhancing safe and precise navigation in sensitive areas, including</w:t>
      </w:r>
      <w:r w:rsidRPr="00F319B8">
        <w:rPr>
          <w:rFonts w:asciiTheme="minorHAnsi" w:hAnsiTheme="minorHAnsi" w:cstheme="minorHAnsi"/>
          <w:lang w:val="en-US"/>
        </w:rPr>
        <w:t xml:space="preserve"> harbours and coastal waters.</w:t>
      </w:r>
      <w:r w:rsidR="00065E0E">
        <w:rPr>
          <w:rFonts w:asciiTheme="minorHAnsi" w:hAnsiTheme="minorHAnsi" w:cstheme="minorHAnsi"/>
          <w:lang w:val="en-US"/>
        </w:rPr>
        <w:t xml:space="preserve"> </w:t>
      </w:r>
      <w:r w:rsidR="00D56102" w:rsidRPr="00D56102">
        <w:rPr>
          <w:rFonts w:asciiTheme="minorHAnsi" w:hAnsiTheme="minorHAnsi" w:cstheme="minorHAnsi"/>
        </w:rPr>
        <w:t>The draft amendments include clarifying paragraphs on augmentation systems in the introduction of the resolution’s annex and introduce specific requirements for these systems under the "Operational Requirements" section of the a</w:t>
      </w:r>
      <w:r w:rsidR="00D56102">
        <w:rPr>
          <w:rFonts w:asciiTheme="minorHAnsi" w:hAnsiTheme="minorHAnsi" w:cstheme="minorHAnsi"/>
        </w:rPr>
        <w:t>nnex</w:t>
      </w:r>
      <w:r w:rsidR="00D56102" w:rsidRPr="00D56102">
        <w:rPr>
          <w:rFonts w:asciiTheme="minorHAnsi" w:hAnsiTheme="minorHAnsi" w:cstheme="minorHAnsi"/>
        </w:rPr>
        <w:t>.</w:t>
      </w:r>
    </w:p>
    <w:p w14:paraId="144CF81F" w14:textId="0A22F261" w:rsidR="00F319B8" w:rsidRPr="00F319B8" w:rsidRDefault="00F319B8" w:rsidP="008934DD">
      <w:pPr>
        <w:spacing w:after="120"/>
        <w:jc w:val="both"/>
        <w:rPr>
          <w:rFonts w:asciiTheme="minorHAnsi" w:hAnsiTheme="minorHAnsi" w:cstheme="minorHAnsi"/>
          <w:lang w:val="en-US"/>
        </w:rPr>
      </w:pPr>
      <w:r w:rsidRPr="00F319B8">
        <w:rPr>
          <w:rFonts w:asciiTheme="minorHAnsi" w:hAnsiTheme="minorHAnsi" w:cstheme="minorHAnsi"/>
          <w:lang w:val="en-US"/>
        </w:rPr>
        <w:t xml:space="preserve">The draft revised resolution </w:t>
      </w:r>
      <w:r w:rsidR="00CF4008" w:rsidRPr="00DE2F71">
        <w:rPr>
          <w:rFonts w:asciiTheme="minorHAnsi" w:hAnsiTheme="minorHAnsi" w:cstheme="minorHAnsi"/>
          <w:lang w:val="en-US"/>
        </w:rPr>
        <w:t>was</w:t>
      </w:r>
      <w:r w:rsidRPr="00F319B8">
        <w:rPr>
          <w:rFonts w:asciiTheme="minorHAnsi" w:hAnsiTheme="minorHAnsi" w:cstheme="minorHAnsi"/>
          <w:lang w:val="en-US"/>
        </w:rPr>
        <w:t xml:space="preserve"> submitted to MSC 111 for adoption. In addition:</w:t>
      </w:r>
    </w:p>
    <w:p w14:paraId="67D78C62" w14:textId="7B85F9F4" w:rsidR="00F319B8" w:rsidRPr="00F319B8" w:rsidRDefault="00F319B8" w:rsidP="008934DD">
      <w:pPr>
        <w:numPr>
          <w:ilvl w:val="0"/>
          <w:numId w:val="38"/>
        </w:numPr>
        <w:spacing w:after="120"/>
        <w:jc w:val="both"/>
        <w:rPr>
          <w:rFonts w:asciiTheme="minorHAnsi" w:hAnsiTheme="minorHAnsi" w:cstheme="minorHAnsi"/>
          <w:lang w:val="en-US"/>
        </w:rPr>
      </w:pPr>
      <w:r w:rsidRPr="00F319B8">
        <w:rPr>
          <w:rFonts w:asciiTheme="minorHAnsi" w:hAnsiTheme="minorHAnsi" w:cstheme="minorHAnsi"/>
          <w:lang w:val="en-US"/>
        </w:rPr>
        <w:t xml:space="preserve">Performance standards for dual-frequency multi-constellation SBAS and ARAIM will be </w:t>
      </w:r>
      <w:r w:rsidR="00CF4008" w:rsidRPr="00DE2F71">
        <w:rPr>
          <w:rFonts w:asciiTheme="minorHAnsi" w:hAnsiTheme="minorHAnsi" w:cstheme="minorHAnsi"/>
          <w:lang w:val="en-US"/>
        </w:rPr>
        <w:t>finalised</w:t>
      </w:r>
      <w:r w:rsidRPr="00F319B8">
        <w:rPr>
          <w:rFonts w:asciiTheme="minorHAnsi" w:hAnsiTheme="minorHAnsi" w:cstheme="minorHAnsi"/>
          <w:lang w:val="en-US"/>
        </w:rPr>
        <w:t xml:space="preserve"> at NCSR 13 (June 2026).</w:t>
      </w:r>
    </w:p>
    <w:p w14:paraId="5331849C" w14:textId="77777777" w:rsidR="00F319B8" w:rsidRDefault="00F319B8" w:rsidP="008934DD">
      <w:pPr>
        <w:numPr>
          <w:ilvl w:val="0"/>
          <w:numId w:val="38"/>
        </w:numPr>
        <w:spacing w:after="120"/>
        <w:jc w:val="both"/>
        <w:rPr>
          <w:rFonts w:asciiTheme="minorHAnsi" w:hAnsiTheme="minorHAnsi" w:cstheme="minorHAnsi"/>
          <w:lang w:val="en-US"/>
        </w:rPr>
      </w:pPr>
      <w:r w:rsidRPr="00F319B8">
        <w:rPr>
          <w:rFonts w:asciiTheme="minorHAnsi" w:hAnsiTheme="minorHAnsi" w:cstheme="minorHAnsi"/>
          <w:lang w:val="en-US"/>
        </w:rPr>
        <w:t>Revised BeiDou (BDS) performance standards will apply to equipment installed from 31 July 2028.</w:t>
      </w:r>
    </w:p>
    <w:p w14:paraId="2251C7D6" w14:textId="558D4CA3" w:rsidR="00012923" w:rsidRPr="00F319B8" w:rsidRDefault="00012923" w:rsidP="008934DD">
      <w:pPr>
        <w:spacing w:after="120"/>
        <w:jc w:val="both"/>
        <w:rPr>
          <w:rFonts w:asciiTheme="minorHAnsi" w:hAnsiTheme="minorHAnsi" w:cstheme="minorHAnsi"/>
          <w:lang w:val="en-US"/>
        </w:rPr>
      </w:pPr>
      <w:r w:rsidRPr="00012923">
        <w:rPr>
          <w:rFonts w:asciiTheme="minorHAnsi" w:hAnsiTheme="minorHAnsi" w:cstheme="minorHAnsi"/>
        </w:rPr>
        <w:lastRenderedPageBreak/>
        <w:t>NCSR 12 completed a revision of Resolution MSC.379(93) on “Performance Standards for Shipborne BeiDou Satellite Navigation System (BDS) Receiver Equipment” to ensure the standards reflect the current capabilities and performance of the BDS.</w:t>
      </w:r>
    </w:p>
    <w:p w14:paraId="531CBB60" w14:textId="77777777" w:rsidR="00D0056A" w:rsidRPr="00DE2F71" w:rsidRDefault="00D0056A" w:rsidP="008934DD">
      <w:pPr>
        <w:pStyle w:val="Default"/>
        <w:spacing w:after="120"/>
        <w:jc w:val="both"/>
        <w:rPr>
          <w:rFonts w:asciiTheme="minorHAnsi" w:hAnsiTheme="minorHAnsi" w:cstheme="minorHAnsi"/>
          <w:b/>
          <w:bCs/>
          <w:sz w:val="22"/>
          <w:szCs w:val="22"/>
          <w:lang w:val="en-US"/>
        </w:rPr>
      </w:pPr>
      <w:r w:rsidRPr="00DE2F71">
        <w:rPr>
          <w:rFonts w:asciiTheme="minorHAnsi" w:hAnsiTheme="minorHAnsi" w:cstheme="minorHAnsi"/>
          <w:b/>
          <w:bCs/>
          <w:sz w:val="22"/>
          <w:szCs w:val="22"/>
          <w:lang w:val="en-US"/>
        </w:rPr>
        <w:t xml:space="preserve">GMDSS services, including guidelines on maritime safety information (MSI) </w:t>
      </w:r>
    </w:p>
    <w:p w14:paraId="02B80DA7" w14:textId="51F8B52A" w:rsidR="0013209A" w:rsidRPr="0013209A" w:rsidRDefault="0013209A" w:rsidP="008934DD">
      <w:pPr>
        <w:pStyle w:val="Default"/>
        <w:spacing w:after="120"/>
        <w:jc w:val="both"/>
        <w:rPr>
          <w:rFonts w:asciiTheme="minorHAnsi" w:hAnsiTheme="minorHAnsi" w:cstheme="minorHAnsi"/>
          <w:sz w:val="22"/>
          <w:szCs w:val="22"/>
          <w:lang w:val="en-US"/>
        </w:rPr>
      </w:pPr>
      <w:r>
        <w:rPr>
          <w:rFonts w:asciiTheme="minorHAnsi" w:hAnsiTheme="minorHAnsi" w:cstheme="minorHAnsi"/>
          <w:sz w:val="22"/>
          <w:szCs w:val="22"/>
          <w:lang w:val="en-US"/>
        </w:rPr>
        <w:t>As agreed by the IMO, maritime safety information (MSI) must be broadcast via all recognised</w:t>
      </w:r>
      <w:r w:rsidRPr="0013209A">
        <w:rPr>
          <w:rFonts w:asciiTheme="minorHAnsi" w:hAnsiTheme="minorHAnsi" w:cstheme="minorHAnsi"/>
          <w:sz w:val="22"/>
          <w:szCs w:val="22"/>
          <w:lang w:val="en-US"/>
        </w:rPr>
        <w:t xml:space="preserve"> and operational mobile satellite services (RMSS) by 31 December 2026. Since 1 January 2000, both Inmarsat and Iridium have been </w:t>
      </w:r>
      <w:r>
        <w:rPr>
          <w:rFonts w:asciiTheme="minorHAnsi" w:hAnsiTheme="minorHAnsi" w:cstheme="minorHAnsi"/>
          <w:sz w:val="22"/>
          <w:szCs w:val="22"/>
          <w:lang w:val="en-US"/>
        </w:rPr>
        <w:t>recognised</w:t>
      </w:r>
      <w:r w:rsidRPr="0013209A">
        <w:rPr>
          <w:rFonts w:asciiTheme="minorHAnsi" w:hAnsiTheme="minorHAnsi" w:cstheme="minorHAnsi"/>
          <w:sz w:val="22"/>
          <w:szCs w:val="22"/>
          <w:lang w:val="en-US"/>
        </w:rPr>
        <w:t xml:space="preserve"> for use in the GMDSS.</w:t>
      </w:r>
    </w:p>
    <w:p w14:paraId="69F07F34" w14:textId="77777777" w:rsidR="0013209A" w:rsidRPr="0013209A" w:rsidRDefault="0013209A" w:rsidP="008934DD">
      <w:pPr>
        <w:pStyle w:val="Default"/>
        <w:spacing w:after="120"/>
        <w:jc w:val="both"/>
        <w:rPr>
          <w:rFonts w:asciiTheme="minorHAnsi" w:hAnsiTheme="minorHAnsi" w:cstheme="minorHAnsi"/>
          <w:sz w:val="22"/>
          <w:szCs w:val="22"/>
          <w:lang w:val="en-US"/>
        </w:rPr>
      </w:pPr>
      <w:r w:rsidRPr="0013209A">
        <w:rPr>
          <w:rFonts w:asciiTheme="minorHAnsi" w:hAnsiTheme="minorHAnsi" w:cstheme="minorHAnsi"/>
          <w:sz w:val="22"/>
          <w:szCs w:val="22"/>
          <w:lang w:val="en-US"/>
        </w:rPr>
        <w:t>To support this, NCSR 12 approved draft amendments to SOLAS Regulations IV/5, V/4, and V/5, making it explicitly mandatory to transmit MSI and search and rescue (SAR) information through all operational RMSSs.</w:t>
      </w:r>
    </w:p>
    <w:p w14:paraId="4A4CEF4B" w14:textId="77777777" w:rsidR="0013209A" w:rsidRPr="0013209A" w:rsidRDefault="0013209A" w:rsidP="008934DD">
      <w:pPr>
        <w:pStyle w:val="Default"/>
        <w:spacing w:after="120"/>
        <w:jc w:val="both"/>
        <w:rPr>
          <w:rFonts w:asciiTheme="minorHAnsi" w:hAnsiTheme="minorHAnsi" w:cstheme="minorHAnsi"/>
          <w:sz w:val="22"/>
          <w:szCs w:val="22"/>
          <w:lang w:val="en-US"/>
        </w:rPr>
      </w:pPr>
      <w:r w:rsidRPr="0013209A">
        <w:rPr>
          <w:rFonts w:asciiTheme="minorHAnsi" w:hAnsiTheme="minorHAnsi" w:cstheme="minorHAnsi"/>
          <w:sz w:val="22"/>
          <w:szCs w:val="22"/>
          <w:lang w:val="en-US"/>
        </w:rPr>
        <w:t>In line with these changes, draft revisions to Resolution MSC.509(105)/Rev.1 on “Provision of Radio Services for the GMDSS” were also agreed.</w:t>
      </w:r>
    </w:p>
    <w:p w14:paraId="0484F554" w14:textId="77777777" w:rsidR="0013209A" w:rsidRPr="0013209A" w:rsidRDefault="0013209A" w:rsidP="008934DD">
      <w:pPr>
        <w:pStyle w:val="Default"/>
        <w:spacing w:after="120"/>
        <w:jc w:val="both"/>
        <w:rPr>
          <w:rFonts w:asciiTheme="minorHAnsi" w:hAnsiTheme="minorHAnsi" w:cstheme="minorHAnsi"/>
          <w:sz w:val="22"/>
          <w:szCs w:val="22"/>
          <w:lang w:val="en-US"/>
        </w:rPr>
      </w:pPr>
      <w:r w:rsidRPr="0013209A">
        <w:rPr>
          <w:rFonts w:asciiTheme="minorHAnsi" w:hAnsiTheme="minorHAnsi" w:cstheme="minorHAnsi"/>
          <w:sz w:val="22"/>
          <w:szCs w:val="22"/>
          <w:lang w:val="en-US"/>
        </w:rPr>
        <w:t>Subject to approval by MSC 110 (June 2025) and adoption by MSC 111 (May 2026), the amendments are set to enter into force on 1 January 2028.</w:t>
      </w:r>
    </w:p>
    <w:p w14:paraId="690D5DD3" w14:textId="77777777" w:rsidR="00DE0122" w:rsidRDefault="00DE0122" w:rsidP="008934DD">
      <w:pPr>
        <w:pStyle w:val="Default"/>
        <w:spacing w:after="120"/>
        <w:jc w:val="both"/>
        <w:rPr>
          <w:rFonts w:asciiTheme="minorHAnsi" w:hAnsiTheme="minorHAnsi" w:cstheme="minorHAnsi"/>
          <w:sz w:val="22"/>
          <w:szCs w:val="22"/>
          <w:lang w:val="en-US"/>
        </w:rPr>
      </w:pPr>
      <w:r w:rsidRPr="00DD42C2">
        <w:rPr>
          <w:rFonts w:asciiTheme="minorHAnsi" w:hAnsiTheme="minorHAnsi" w:cstheme="minorHAnsi"/>
          <w:sz w:val="22"/>
          <w:szCs w:val="22"/>
          <w:lang w:val="en-US"/>
        </w:rPr>
        <w:t>NCSR 12 agreed to task the IMO/ITU Experts Group with initiating discussions on a transition plan for introducing digital technology into very-high frequency (VHF) voice communications. The Group will report its findings and recommendations to NCSR 13.</w:t>
      </w:r>
      <w:r>
        <w:rPr>
          <w:rFonts w:asciiTheme="minorHAnsi" w:hAnsiTheme="minorHAnsi" w:cstheme="minorHAnsi"/>
          <w:sz w:val="22"/>
          <w:szCs w:val="22"/>
          <w:lang w:val="en-US"/>
        </w:rPr>
        <w:t xml:space="preserve"> </w:t>
      </w:r>
      <w:r w:rsidRPr="00DD42C2">
        <w:rPr>
          <w:rFonts w:asciiTheme="minorHAnsi" w:hAnsiTheme="minorHAnsi" w:cstheme="minorHAnsi"/>
          <w:sz w:val="22"/>
          <w:szCs w:val="22"/>
          <w:lang w:val="en-US"/>
        </w:rPr>
        <w:t>This effort is intended to support the International Telecommunication Union (ITU) in assessing the maritime implications of its regulatory developments.</w:t>
      </w:r>
      <w:r>
        <w:rPr>
          <w:rFonts w:asciiTheme="minorHAnsi" w:hAnsiTheme="minorHAnsi" w:cstheme="minorHAnsi"/>
          <w:sz w:val="22"/>
          <w:szCs w:val="22"/>
          <w:lang w:val="en-US"/>
        </w:rPr>
        <w:t xml:space="preserve"> </w:t>
      </w:r>
      <w:r w:rsidRPr="00DD42C2">
        <w:rPr>
          <w:rFonts w:asciiTheme="minorHAnsi" w:hAnsiTheme="minorHAnsi" w:cstheme="minorHAnsi"/>
          <w:sz w:val="22"/>
          <w:szCs w:val="22"/>
          <w:lang w:val="en-US"/>
        </w:rPr>
        <w:t xml:space="preserve">A draft MSC resolution outlining the proposed amendments </w:t>
      </w:r>
      <w:r>
        <w:rPr>
          <w:rFonts w:asciiTheme="minorHAnsi" w:hAnsiTheme="minorHAnsi" w:cstheme="minorHAnsi"/>
          <w:sz w:val="22"/>
          <w:szCs w:val="22"/>
          <w:lang w:val="en-US"/>
        </w:rPr>
        <w:t>was</w:t>
      </w:r>
      <w:r w:rsidRPr="00DD42C2">
        <w:rPr>
          <w:rFonts w:asciiTheme="minorHAnsi" w:hAnsiTheme="minorHAnsi" w:cstheme="minorHAnsi"/>
          <w:sz w:val="22"/>
          <w:szCs w:val="22"/>
          <w:lang w:val="en-US"/>
        </w:rPr>
        <w:t xml:space="preserve"> submitted to MSC 111 in May 2026 for adoption.</w:t>
      </w:r>
    </w:p>
    <w:p w14:paraId="2D02202F" w14:textId="77777777" w:rsidR="00DC6FC8" w:rsidRPr="00DE2F71" w:rsidRDefault="00DC6FC8" w:rsidP="008934DD">
      <w:pPr>
        <w:pStyle w:val="Default"/>
        <w:spacing w:after="120"/>
        <w:jc w:val="both"/>
        <w:rPr>
          <w:rFonts w:asciiTheme="minorHAnsi" w:hAnsiTheme="minorHAnsi" w:cstheme="minorHAnsi"/>
          <w:b/>
          <w:bCs/>
          <w:sz w:val="22"/>
          <w:szCs w:val="22"/>
        </w:rPr>
      </w:pPr>
      <w:r w:rsidRPr="00DE2F71">
        <w:rPr>
          <w:rFonts w:asciiTheme="minorHAnsi" w:hAnsiTheme="minorHAnsi" w:cstheme="minorHAnsi"/>
          <w:b/>
          <w:bCs/>
          <w:sz w:val="22"/>
          <w:szCs w:val="22"/>
        </w:rPr>
        <w:t>Software maintenance of shipboard navigation and communication equipment and systems</w:t>
      </w:r>
    </w:p>
    <w:p w14:paraId="4BBDCF61" w14:textId="4C501CD8" w:rsidR="00A371AA" w:rsidRPr="00DE2F71" w:rsidRDefault="00A371AA" w:rsidP="008934DD">
      <w:pPr>
        <w:pStyle w:val="Default"/>
        <w:spacing w:after="120"/>
        <w:jc w:val="both"/>
        <w:rPr>
          <w:rFonts w:asciiTheme="minorHAnsi" w:hAnsiTheme="minorHAnsi" w:cstheme="minorHAnsi"/>
          <w:sz w:val="22"/>
          <w:szCs w:val="22"/>
          <w:lang w:val="en-US"/>
        </w:rPr>
      </w:pPr>
      <w:r w:rsidRPr="00DE2F71">
        <w:rPr>
          <w:rFonts w:asciiTheme="minorHAnsi" w:hAnsiTheme="minorHAnsi" w:cstheme="minorHAnsi"/>
          <w:sz w:val="22"/>
          <w:szCs w:val="22"/>
          <w:lang w:val="en-US"/>
        </w:rPr>
        <w:t xml:space="preserve">The Sub-Committee </w:t>
      </w:r>
      <w:r w:rsidR="00C0222F">
        <w:rPr>
          <w:rFonts w:asciiTheme="minorHAnsi" w:hAnsiTheme="minorHAnsi" w:cstheme="minorHAnsi"/>
          <w:sz w:val="22"/>
          <w:szCs w:val="22"/>
          <w:lang w:val="en-US"/>
        </w:rPr>
        <w:t xml:space="preserve">finalised a </w:t>
      </w:r>
      <w:r w:rsidR="00C0222F" w:rsidRPr="00C0222F">
        <w:rPr>
          <w:rFonts w:asciiTheme="minorHAnsi" w:hAnsiTheme="minorHAnsi" w:cstheme="minorHAnsi"/>
          <w:sz w:val="22"/>
          <w:szCs w:val="22"/>
          <w:lang w:val="en-US"/>
        </w:rPr>
        <w:t>new draft MSC circular</w:t>
      </w:r>
      <w:r w:rsidR="00C0222F" w:rsidRPr="00DE2F71">
        <w:rPr>
          <w:rFonts w:asciiTheme="minorHAnsi" w:hAnsiTheme="minorHAnsi" w:cstheme="minorHAnsi"/>
          <w:sz w:val="22"/>
          <w:szCs w:val="22"/>
          <w:lang w:val="en-US"/>
        </w:rPr>
        <w:t xml:space="preserve"> providing comprehensive procedures for software upkeep, cybersecurity, remote updates, and maintenance protocols </w:t>
      </w:r>
      <w:r w:rsidRPr="00DE2F71">
        <w:rPr>
          <w:rFonts w:asciiTheme="minorHAnsi" w:hAnsiTheme="minorHAnsi" w:cstheme="minorHAnsi"/>
          <w:sz w:val="22"/>
          <w:szCs w:val="22"/>
          <w:lang w:val="en-US"/>
        </w:rPr>
        <w:t>for software maintenance of shipboard computer-based navigation and communication equipment and systems. The guidelines aim to improve the efficiency, effectiveness, safety</w:t>
      </w:r>
      <w:r w:rsidR="00C0222F">
        <w:rPr>
          <w:rFonts w:asciiTheme="minorHAnsi" w:hAnsiTheme="minorHAnsi" w:cstheme="minorHAnsi"/>
          <w:sz w:val="22"/>
          <w:szCs w:val="22"/>
          <w:lang w:val="en-US"/>
        </w:rPr>
        <w:t>, and security of shipboard software maintenance events by introducing a standardised, controlled,</w:t>
      </w:r>
      <w:r w:rsidRPr="00DE2F71">
        <w:rPr>
          <w:rFonts w:asciiTheme="minorHAnsi" w:hAnsiTheme="minorHAnsi" w:cstheme="minorHAnsi"/>
          <w:sz w:val="22"/>
          <w:szCs w:val="22"/>
          <w:lang w:val="en-US"/>
        </w:rPr>
        <w:t xml:space="preserve"> and transparent </w:t>
      </w:r>
      <w:r w:rsidRPr="006906A8">
        <w:rPr>
          <w:rFonts w:asciiTheme="minorHAnsi" w:hAnsiTheme="minorHAnsi" w:cstheme="minorHAnsi"/>
          <w:sz w:val="22"/>
          <w:szCs w:val="22"/>
          <w:lang w:val="en-US"/>
        </w:rPr>
        <w:t>process. </w:t>
      </w:r>
      <w:r w:rsidR="006906A8" w:rsidRPr="00FA7625">
        <w:rPr>
          <w:rFonts w:asciiTheme="minorHAnsi" w:hAnsiTheme="minorHAnsi" w:cstheme="minorHAnsi"/>
          <w:sz w:val="22"/>
          <w:szCs w:val="22"/>
        </w:rPr>
        <w:t>These guidelines are intended to ensure that the software maintenance of shipboard computer-based navigation and communication equipment and systems is carried out in accordance with a controlled and standardized procedure.</w:t>
      </w:r>
      <w:r w:rsidR="006906A8" w:rsidRPr="00FA7625">
        <w:rPr>
          <w:rFonts w:asciiTheme="minorHAnsi" w:hAnsiTheme="minorHAnsi" w:cstheme="minorHAnsi"/>
        </w:rPr>
        <w:t xml:space="preserve"> </w:t>
      </w:r>
    </w:p>
    <w:p w14:paraId="4BC98F69" w14:textId="57CCFFB6" w:rsidR="00A371AA" w:rsidRDefault="00A371AA" w:rsidP="008934DD">
      <w:pPr>
        <w:pStyle w:val="Default"/>
        <w:spacing w:after="120"/>
        <w:jc w:val="both"/>
        <w:rPr>
          <w:rFonts w:asciiTheme="minorHAnsi" w:hAnsiTheme="minorHAnsi" w:cstheme="minorHAnsi"/>
          <w:sz w:val="22"/>
          <w:szCs w:val="22"/>
          <w:lang w:val="en-US"/>
        </w:rPr>
      </w:pPr>
      <w:r w:rsidRPr="00DE2F71">
        <w:rPr>
          <w:rFonts w:asciiTheme="minorHAnsi" w:hAnsiTheme="minorHAnsi" w:cstheme="minorHAnsi"/>
          <w:sz w:val="22"/>
          <w:szCs w:val="22"/>
          <w:lang w:val="en-US"/>
        </w:rPr>
        <w:t xml:space="preserve">The draft MSC circular containing the guidelines </w:t>
      </w:r>
      <w:r w:rsidR="003B1D2A" w:rsidRPr="00DE2F71">
        <w:rPr>
          <w:rFonts w:asciiTheme="minorHAnsi" w:hAnsiTheme="minorHAnsi" w:cstheme="minorHAnsi"/>
          <w:sz w:val="22"/>
          <w:szCs w:val="22"/>
          <w:lang w:val="en-US"/>
        </w:rPr>
        <w:t>was</w:t>
      </w:r>
      <w:r w:rsidRPr="00DE2F71">
        <w:rPr>
          <w:rFonts w:asciiTheme="minorHAnsi" w:hAnsiTheme="minorHAnsi" w:cstheme="minorHAnsi"/>
          <w:sz w:val="22"/>
          <w:szCs w:val="22"/>
          <w:lang w:val="en-US"/>
        </w:rPr>
        <w:t xml:space="preserve"> submitted with a view to approval by MSC 111. </w:t>
      </w:r>
    </w:p>
    <w:p w14:paraId="3CB280AE" w14:textId="77777777" w:rsidR="00DC6FC8" w:rsidRPr="00DE2F71" w:rsidRDefault="00DC6FC8" w:rsidP="008934DD">
      <w:pPr>
        <w:pStyle w:val="Default"/>
        <w:spacing w:after="120"/>
        <w:jc w:val="both"/>
        <w:rPr>
          <w:rFonts w:asciiTheme="minorHAnsi" w:hAnsiTheme="minorHAnsi" w:cstheme="minorHAnsi"/>
          <w:b/>
          <w:bCs/>
          <w:sz w:val="22"/>
          <w:szCs w:val="22"/>
        </w:rPr>
      </w:pPr>
      <w:r w:rsidRPr="00DE2F71">
        <w:rPr>
          <w:rFonts w:asciiTheme="minorHAnsi" w:hAnsiTheme="minorHAnsi" w:cstheme="minorHAnsi"/>
          <w:b/>
          <w:bCs/>
          <w:sz w:val="22"/>
          <w:szCs w:val="22"/>
        </w:rPr>
        <w:t xml:space="preserve">Electronic nautical publications (ENP) </w:t>
      </w:r>
    </w:p>
    <w:p w14:paraId="0060ED7C" w14:textId="5AF62C3F" w:rsidR="008C215F" w:rsidRPr="00DE2F71" w:rsidRDefault="008C215F" w:rsidP="008934DD">
      <w:pPr>
        <w:pStyle w:val="Default"/>
        <w:spacing w:after="120"/>
        <w:jc w:val="both"/>
        <w:rPr>
          <w:rFonts w:asciiTheme="minorHAnsi" w:hAnsiTheme="minorHAnsi" w:cstheme="minorHAnsi"/>
          <w:sz w:val="22"/>
          <w:szCs w:val="22"/>
        </w:rPr>
      </w:pPr>
      <w:r w:rsidRPr="00DE2F71">
        <w:rPr>
          <w:rFonts w:asciiTheme="minorHAnsi" w:hAnsiTheme="minorHAnsi" w:cstheme="minorHAnsi"/>
          <w:sz w:val="22"/>
          <w:szCs w:val="22"/>
        </w:rPr>
        <w:t xml:space="preserve">The Sub-Committee </w:t>
      </w:r>
      <w:r w:rsidR="004E1B19">
        <w:rPr>
          <w:rFonts w:asciiTheme="minorHAnsi" w:hAnsiTheme="minorHAnsi" w:cstheme="minorHAnsi"/>
          <w:sz w:val="22"/>
          <w:szCs w:val="22"/>
        </w:rPr>
        <w:t>finalised</w:t>
      </w:r>
      <w:r w:rsidRPr="00DE2F71">
        <w:rPr>
          <w:rFonts w:asciiTheme="minorHAnsi" w:hAnsiTheme="minorHAnsi" w:cstheme="minorHAnsi"/>
          <w:sz w:val="22"/>
          <w:szCs w:val="22"/>
        </w:rPr>
        <w:t xml:space="preserve"> the draft MSC circular on Guidelines on carriage</w:t>
      </w:r>
      <w:r w:rsidR="004E1B19" w:rsidRPr="00DE2F71">
        <w:rPr>
          <w:rFonts w:asciiTheme="minorHAnsi" w:hAnsiTheme="minorHAnsi" w:cstheme="minorHAnsi"/>
          <w:sz w:val="22"/>
          <w:szCs w:val="22"/>
          <w:lang w:val="en-US"/>
        </w:rPr>
        <w:t>, hardware/software, backup arrangements, power supply for ENPs</w:t>
      </w:r>
      <w:r w:rsidRPr="00DE2F71">
        <w:rPr>
          <w:rFonts w:asciiTheme="minorHAnsi" w:hAnsiTheme="minorHAnsi" w:cstheme="minorHAnsi"/>
          <w:sz w:val="22"/>
          <w:szCs w:val="22"/>
        </w:rPr>
        <w:t xml:space="preserve"> and use of electronic nautical publications (ENP) system, for approval by MSC 111. The new guidelines aim to promote the effective use of electronic nautical publications, covering aspects such as the general requirements for carriage and operation of ENP on board a vessel, adequate backup arrangements and power supply.  </w:t>
      </w:r>
    </w:p>
    <w:p w14:paraId="52A00718" w14:textId="3D4AB350" w:rsidR="00887025" w:rsidRDefault="00E97E5D" w:rsidP="008934DD">
      <w:pPr>
        <w:pStyle w:val="Default"/>
        <w:spacing w:after="120"/>
        <w:jc w:val="both"/>
        <w:rPr>
          <w:rFonts w:asciiTheme="minorHAnsi" w:hAnsiTheme="minorHAnsi" w:cstheme="minorHAnsi"/>
          <w:sz w:val="22"/>
          <w:szCs w:val="22"/>
          <w:lang w:val="en-US"/>
        </w:rPr>
      </w:pPr>
      <w:r w:rsidRPr="00DE2F71">
        <w:rPr>
          <w:rFonts w:asciiTheme="minorHAnsi" w:hAnsiTheme="minorHAnsi" w:cstheme="minorHAnsi"/>
          <w:sz w:val="22"/>
          <w:szCs w:val="22"/>
          <w:lang w:val="en-US"/>
        </w:rPr>
        <w:t xml:space="preserve">This aligns with SOLAS V/19.2.1.4, V/19.2.1.5 and V/27, </w:t>
      </w:r>
      <w:r w:rsidR="00FC1EE0">
        <w:rPr>
          <w:rFonts w:asciiTheme="minorHAnsi" w:hAnsiTheme="minorHAnsi" w:cstheme="minorHAnsi"/>
          <w:sz w:val="22"/>
          <w:szCs w:val="22"/>
          <w:lang w:val="en-US"/>
        </w:rPr>
        <w:t xml:space="preserve">which </w:t>
      </w:r>
      <w:r w:rsidR="00887025" w:rsidRPr="009337D0">
        <w:rPr>
          <w:rFonts w:asciiTheme="minorHAnsi" w:hAnsiTheme="minorHAnsi" w:cstheme="minorHAnsi"/>
          <w:sz w:val="22"/>
          <w:szCs w:val="22"/>
          <w:lang w:val="en-US"/>
        </w:rPr>
        <w:t>require all ships to carry nautical charts and publications—either in paper or electronic format—with appropriate back-up systems if electronic means are used. These resources must support voyage planning, route display, and position monitoring throughout the voyage.</w:t>
      </w:r>
    </w:p>
    <w:p w14:paraId="41CB1FAD" w14:textId="77777777" w:rsidR="00DE3154" w:rsidRPr="00DE2F71" w:rsidRDefault="00DE3154" w:rsidP="008934DD">
      <w:pPr>
        <w:pStyle w:val="Default"/>
        <w:spacing w:after="120"/>
        <w:jc w:val="both"/>
        <w:rPr>
          <w:rFonts w:asciiTheme="minorHAnsi" w:hAnsiTheme="minorHAnsi" w:cstheme="minorHAnsi"/>
          <w:sz w:val="22"/>
          <w:szCs w:val="22"/>
          <w:lang w:val="en-US"/>
        </w:rPr>
      </w:pPr>
      <w:r w:rsidRPr="00DE2F71">
        <w:rPr>
          <w:rFonts w:asciiTheme="minorHAnsi" w:hAnsiTheme="minorHAnsi" w:cstheme="minorHAnsi"/>
          <w:b/>
          <w:bCs/>
          <w:sz w:val="22"/>
          <w:szCs w:val="22"/>
          <w:lang w:val="en-US"/>
        </w:rPr>
        <w:t>Progress on digital navigation data system (NAVDAT) </w:t>
      </w:r>
    </w:p>
    <w:p w14:paraId="7AC16508" w14:textId="22DE5F9C" w:rsidR="00A86F46" w:rsidRDefault="00DE3154" w:rsidP="008934DD">
      <w:pPr>
        <w:pStyle w:val="Default"/>
        <w:spacing w:after="120"/>
        <w:jc w:val="both"/>
        <w:rPr>
          <w:rFonts w:asciiTheme="minorHAnsi" w:hAnsiTheme="minorHAnsi" w:cstheme="minorHAnsi"/>
          <w:sz w:val="22"/>
          <w:szCs w:val="22"/>
          <w:lang w:val="en-US"/>
        </w:rPr>
      </w:pPr>
      <w:r w:rsidRPr="00DE2F71">
        <w:rPr>
          <w:rFonts w:asciiTheme="minorHAnsi" w:hAnsiTheme="minorHAnsi" w:cstheme="minorHAnsi"/>
          <w:sz w:val="22"/>
          <w:szCs w:val="22"/>
          <w:lang w:val="en-US"/>
        </w:rPr>
        <w:t xml:space="preserve">The Sub-Committee progressed its work towards introducing NAVDAT </w:t>
      </w:r>
      <w:r w:rsidR="00B075F7">
        <w:rPr>
          <w:rFonts w:asciiTheme="minorHAnsi" w:hAnsiTheme="minorHAnsi" w:cstheme="minorHAnsi"/>
          <w:sz w:val="22"/>
          <w:szCs w:val="22"/>
          <w:lang w:val="en-US"/>
        </w:rPr>
        <w:t>–</w:t>
      </w:r>
      <w:r w:rsidRPr="00DE2F71">
        <w:rPr>
          <w:rFonts w:asciiTheme="minorHAnsi" w:hAnsiTheme="minorHAnsi" w:cstheme="minorHAnsi"/>
          <w:sz w:val="22"/>
          <w:szCs w:val="22"/>
          <w:lang w:val="en-US"/>
        </w:rPr>
        <w:t xml:space="preserve"> a digital broadcasting system operating on selected medium and high frequency (MF and HF) bands – into the IMO regulatory framework. NAVDAT can communicate texts, images, graphs and data to compatible receiving equipment on ships, at speeds much higher than NAVTEX.   </w:t>
      </w:r>
    </w:p>
    <w:p w14:paraId="4170EC80" w14:textId="757ACDC4" w:rsidR="00B075F7" w:rsidRPr="00DE2F71" w:rsidRDefault="00B075F7" w:rsidP="008934DD">
      <w:pPr>
        <w:pStyle w:val="Default"/>
        <w:spacing w:after="120"/>
        <w:jc w:val="both"/>
        <w:rPr>
          <w:rFonts w:asciiTheme="minorHAnsi" w:hAnsiTheme="minorHAnsi" w:cstheme="minorHAnsi"/>
          <w:sz w:val="22"/>
          <w:szCs w:val="22"/>
          <w:lang w:val="en-US"/>
        </w:rPr>
      </w:pPr>
      <w:r w:rsidRPr="00B075F7">
        <w:rPr>
          <w:rFonts w:asciiTheme="minorHAnsi" w:hAnsiTheme="minorHAnsi" w:cstheme="minorHAnsi"/>
          <w:sz w:val="22"/>
          <w:szCs w:val="22"/>
        </w:rPr>
        <w:t xml:space="preserve">An updated implementation roadmap </w:t>
      </w:r>
      <w:r w:rsidRPr="009B74C5">
        <w:rPr>
          <w:rFonts w:asciiTheme="minorHAnsi" w:hAnsiTheme="minorHAnsi" w:cstheme="minorHAnsi"/>
          <w:sz w:val="22"/>
          <w:szCs w:val="22"/>
          <w:lang w:val="en-US"/>
        </w:rPr>
        <w:t>for the implementation of a digital system to broadcast MSI and SAR data from shore to ships</w:t>
      </w:r>
      <w:r>
        <w:rPr>
          <w:rFonts w:asciiTheme="minorHAnsi" w:hAnsiTheme="minorHAnsi" w:cstheme="minorHAnsi"/>
          <w:sz w:val="22"/>
          <w:szCs w:val="22"/>
          <w:lang w:val="en-US"/>
        </w:rPr>
        <w:t xml:space="preserve"> </w:t>
      </w:r>
      <w:r w:rsidRPr="00B075F7">
        <w:rPr>
          <w:rFonts w:asciiTheme="minorHAnsi" w:hAnsiTheme="minorHAnsi" w:cstheme="minorHAnsi"/>
          <w:sz w:val="22"/>
          <w:szCs w:val="22"/>
        </w:rPr>
        <w:t>for the NAVDAT service was submitted to the IMO/ITU Experts Group for further review. Additionally, NCSR 12 revised the draft NAVDAT manual and agreed to send it to the IHO and WMO for their input.</w:t>
      </w:r>
    </w:p>
    <w:p w14:paraId="5095CF5C" w14:textId="43369D7E" w:rsidR="00CC3E50" w:rsidRDefault="00DE3154" w:rsidP="002276C9">
      <w:pPr>
        <w:pStyle w:val="Default"/>
        <w:spacing w:after="120"/>
        <w:jc w:val="both"/>
      </w:pPr>
      <w:r w:rsidRPr="00DE2F71">
        <w:rPr>
          <w:rFonts w:asciiTheme="minorHAnsi" w:hAnsiTheme="minorHAnsi" w:cstheme="minorHAnsi"/>
          <w:sz w:val="22"/>
          <w:szCs w:val="22"/>
          <w:lang w:val="en-US"/>
        </w:rPr>
        <w:lastRenderedPageBreak/>
        <w:t> </w:t>
      </w:r>
    </w:p>
    <w:p w14:paraId="7A8D2F27" w14:textId="77777777" w:rsidR="00A446C9" w:rsidRPr="007A395D" w:rsidRDefault="00A446C9" w:rsidP="00605E43">
      <w:pPr>
        <w:pStyle w:val="Heading1"/>
      </w:pPr>
      <w:r w:rsidRPr="007A395D">
        <w:t>Action requested of the Committee</w:t>
      </w:r>
    </w:p>
    <w:p w14:paraId="500F3346" w14:textId="1E200C4F" w:rsidR="002300CD" w:rsidRPr="00516430" w:rsidRDefault="00394293" w:rsidP="00516430">
      <w:pPr>
        <w:pStyle w:val="Heading4"/>
        <w:numPr>
          <w:ilvl w:val="0"/>
          <w:numId w:val="0"/>
        </w:numPr>
        <w:rPr>
          <w:rFonts w:asciiTheme="minorHAnsi" w:hAnsiTheme="minorHAnsi" w:cstheme="minorHAnsi"/>
        </w:rPr>
      </w:pPr>
      <w:r w:rsidRPr="00233F46">
        <w:rPr>
          <w:rFonts w:asciiTheme="minorHAnsi" w:hAnsiTheme="minorHAnsi" w:cstheme="minorHAnsi"/>
          <w:b/>
          <w:bCs/>
        </w:rPr>
        <w:t>Note</w:t>
      </w:r>
      <w:r w:rsidRPr="00394293">
        <w:rPr>
          <w:rFonts w:asciiTheme="minorHAnsi" w:hAnsiTheme="minorHAnsi" w:cstheme="minorHAnsi"/>
        </w:rPr>
        <w:t xml:space="preserve"> </w:t>
      </w:r>
      <w:r w:rsidRPr="00394293">
        <w:rPr>
          <w:rFonts w:asciiTheme="minorHAnsi" w:hAnsiTheme="minorHAnsi" w:cstheme="minorHAnsi"/>
          <w:bCs/>
        </w:rPr>
        <w:t>the information provided.</w:t>
      </w:r>
      <w:r w:rsidRPr="00394293">
        <w:rPr>
          <w:rFonts w:asciiTheme="minorHAnsi" w:hAnsiTheme="minorHAnsi" w:cstheme="minorHAnsi"/>
        </w:rPr>
        <w:t xml:space="preserve"> </w:t>
      </w:r>
    </w:p>
    <w:sectPr w:rsidR="002300CD" w:rsidRPr="00516430"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6B698" w14:textId="77777777" w:rsidR="00D73574" w:rsidRDefault="00D73574" w:rsidP="00362CD9">
      <w:r>
        <w:separator/>
      </w:r>
    </w:p>
  </w:endnote>
  <w:endnote w:type="continuationSeparator" w:id="0">
    <w:p w14:paraId="47ACBB91" w14:textId="77777777" w:rsidR="00D73574" w:rsidRDefault="00D7357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3DA91EB8"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15E19" w14:textId="77777777" w:rsidR="00D73574" w:rsidRDefault="00D73574" w:rsidP="00362CD9">
      <w:r>
        <w:separator/>
      </w:r>
    </w:p>
  </w:footnote>
  <w:footnote w:type="continuationSeparator" w:id="0">
    <w:p w14:paraId="75C292D2" w14:textId="77777777" w:rsidR="00D73574" w:rsidRDefault="00D73574"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7CBBFFC9"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14A3718B">
          <wp:simplePos x="0" y="0"/>
          <wp:positionH relativeFrom="column">
            <wp:posOffset>5533390</wp:posOffset>
          </wp:positionH>
          <wp:positionV relativeFrom="paragraph">
            <wp:posOffset>-294005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27B5BF93"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D7733"/>
    <w:multiLevelType w:val="multilevel"/>
    <w:tmpl w:val="80803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0A0E59"/>
    <w:multiLevelType w:val="hybridMultilevel"/>
    <w:tmpl w:val="21681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766228"/>
    <w:multiLevelType w:val="hybridMultilevel"/>
    <w:tmpl w:val="8146B8D8"/>
    <w:lvl w:ilvl="0" w:tplc="88300844">
      <w:start w:val="5"/>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E32348B"/>
    <w:multiLevelType w:val="hybridMultilevel"/>
    <w:tmpl w:val="D574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4761F0"/>
    <w:multiLevelType w:val="multilevel"/>
    <w:tmpl w:val="E5AA2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E66C35"/>
    <w:multiLevelType w:val="multilevel"/>
    <w:tmpl w:val="0032C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AC51C0"/>
    <w:multiLevelType w:val="multilevel"/>
    <w:tmpl w:val="F9442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1C4D7923"/>
    <w:multiLevelType w:val="multilevel"/>
    <w:tmpl w:val="0106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2FB91A25"/>
    <w:multiLevelType w:val="multilevel"/>
    <w:tmpl w:val="8D3A7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9620EC"/>
    <w:multiLevelType w:val="multilevel"/>
    <w:tmpl w:val="6F96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277159"/>
    <w:multiLevelType w:val="multilevel"/>
    <w:tmpl w:val="7EACF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8FF51F2"/>
    <w:multiLevelType w:val="hybridMultilevel"/>
    <w:tmpl w:val="FEF6D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CE02FD0"/>
    <w:multiLevelType w:val="multilevel"/>
    <w:tmpl w:val="DA4C4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0C1F13"/>
    <w:multiLevelType w:val="multilevel"/>
    <w:tmpl w:val="C8423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21" w15:restartNumberingAfterBreak="0">
    <w:nsid w:val="40577EBD"/>
    <w:multiLevelType w:val="multilevel"/>
    <w:tmpl w:val="C33E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555B09"/>
    <w:multiLevelType w:val="multilevel"/>
    <w:tmpl w:val="7FB2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542E231D"/>
    <w:multiLevelType w:val="multilevel"/>
    <w:tmpl w:val="978E9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24140F"/>
    <w:multiLevelType w:val="multilevel"/>
    <w:tmpl w:val="561CF78C"/>
    <w:lvl w:ilvl="0">
      <w:start w:val="1"/>
      <w:numFmt w:val="decimal"/>
      <w:lvlText w:val="%1"/>
      <w:lvlJc w:val="left"/>
      <w:pPr>
        <w:ind w:left="989" w:hanging="851"/>
      </w:pPr>
      <w:rPr>
        <w:rFonts w:ascii="Arial" w:eastAsia="Arial" w:hAnsi="Arial" w:cs="Arial" w:hint="default"/>
        <w:b/>
        <w:bCs/>
        <w:i w:val="0"/>
        <w:iCs w:val="0"/>
        <w:spacing w:val="0"/>
        <w:w w:val="99"/>
        <w:sz w:val="22"/>
        <w:szCs w:val="22"/>
        <w:lang w:val="en-US" w:eastAsia="en-US" w:bidi="ar-SA"/>
      </w:rPr>
    </w:lvl>
    <w:lvl w:ilvl="1">
      <w:start w:val="1"/>
      <w:numFmt w:val="decimal"/>
      <w:lvlText w:val="%1.%2"/>
      <w:lvlJc w:val="left"/>
      <w:pPr>
        <w:ind w:left="138" w:hanging="851"/>
      </w:pPr>
      <w:rPr>
        <w:rFonts w:hint="default"/>
        <w:spacing w:val="0"/>
        <w:w w:val="99"/>
        <w:lang w:val="en-US" w:eastAsia="en-US" w:bidi="ar-SA"/>
      </w:rPr>
    </w:lvl>
    <w:lvl w:ilvl="2">
      <w:start w:val="1"/>
      <w:numFmt w:val="decimal"/>
      <w:lvlText w:val="%1.%2.%3"/>
      <w:lvlJc w:val="left"/>
      <w:pPr>
        <w:ind w:left="138" w:hanging="851"/>
      </w:pPr>
      <w:rPr>
        <w:rFonts w:ascii="Arial" w:eastAsia="Arial" w:hAnsi="Arial" w:cs="Arial" w:hint="default"/>
        <w:b w:val="0"/>
        <w:bCs w:val="0"/>
        <w:i w:val="0"/>
        <w:iCs w:val="0"/>
        <w:spacing w:val="0"/>
        <w:w w:val="99"/>
        <w:sz w:val="22"/>
        <w:szCs w:val="22"/>
        <w:lang w:val="en-US" w:eastAsia="en-US" w:bidi="ar-SA"/>
      </w:rPr>
    </w:lvl>
    <w:lvl w:ilvl="3">
      <w:start w:val="1"/>
      <w:numFmt w:val="decimal"/>
      <w:lvlText w:val=".%4"/>
      <w:lvlJc w:val="left"/>
      <w:pPr>
        <w:ind w:left="1840" w:hanging="851"/>
      </w:pPr>
      <w:rPr>
        <w:rFonts w:ascii="Arial" w:eastAsia="Arial" w:hAnsi="Arial" w:cs="Arial" w:hint="default"/>
        <w:b w:val="0"/>
        <w:bCs w:val="0"/>
        <w:i w:val="0"/>
        <w:iCs w:val="0"/>
        <w:spacing w:val="0"/>
        <w:w w:val="99"/>
        <w:sz w:val="22"/>
        <w:szCs w:val="22"/>
        <w:lang w:val="en-US" w:eastAsia="en-US" w:bidi="ar-SA"/>
      </w:rPr>
    </w:lvl>
    <w:lvl w:ilvl="4">
      <w:numFmt w:val="bullet"/>
      <w:lvlText w:val="•"/>
      <w:lvlJc w:val="left"/>
      <w:pPr>
        <w:ind w:left="3715" w:hanging="851"/>
      </w:pPr>
      <w:rPr>
        <w:rFonts w:hint="default"/>
        <w:lang w:val="en-US" w:eastAsia="en-US" w:bidi="ar-SA"/>
      </w:rPr>
    </w:lvl>
    <w:lvl w:ilvl="5">
      <w:numFmt w:val="bullet"/>
      <w:lvlText w:val="•"/>
      <w:lvlJc w:val="left"/>
      <w:pPr>
        <w:ind w:left="4652" w:hanging="851"/>
      </w:pPr>
      <w:rPr>
        <w:rFonts w:hint="default"/>
        <w:lang w:val="en-US" w:eastAsia="en-US" w:bidi="ar-SA"/>
      </w:rPr>
    </w:lvl>
    <w:lvl w:ilvl="6">
      <w:numFmt w:val="bullet"/>
      <w:lvlText w:val="•"/>
      <w:lvlJc w:val="left"/>
      <w:pPr>
        <w:ind w:left="5590" w:hanging="851"/>
      </w:pPr>
      <w:rPr>
        <w:rFonts w:hint="default"/>
        <w:lang w:val="en-US" w:eastAsia="en-US" w:bidi="ar-SA"/>
      </w:rPr>
    </w:lvl>
    <w:lvl w:ilvl="7">
      <w:numFmt w:val="bullet"/>
      <w:lvlText w:val="•"/>
      <w:lvlJc w:val="left"/>
      <w:pPr>
        <w:ind w:left="6527" w:hanging="851"/>
      </w:pPr>
      <w:rPr>
        <w:rFonts w:hint="default"/>
        <w:lang w:val="en-US" w:eastAsia="en-US" w:bidi="ar-SA"/>
      </w:rPr>
    </w:lvl>
    <w:lvl w:ilvl="8">
      <w:numFmt w:val="bullet"/>
      <w:lvlText w:val="•"/>
      <w:lvlJc w:val="left"/>
      <w:pPr>
        <w:ind w:left="7465" w:hanging="851"/>
      </w:pPr>
      <w:rPr>
        <w:rFonts w:hint="default"/>
        <w:lang w:val="en-US" w:eastAsia="en-US" w:bidi="ar-SA"/>
      </w:rPr>
    </w:lvl>
  </w:abstractNum>
  <w:abstractNum w:abstractNumId="31" w15:restartNumberingAfterBreak="0">
    <w:nsid w:val="57BF107C"/>
    <w:multiLevelType w:val="hybridMultilevel"/>
    <w:tmpl w:val="626C3432"/>
    <w:lvl w:ilvl="0" w:tplc="36FA7D74">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DCA4816"/>
    <w:multiLevelType w:val="multilevel"/>
    <w:tmpl w:val="89BC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0AC6BE0"/>
    <w:multiLevelType w:val="multilevel"/>
    <w:tmpl w:val="96F84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FA3236"/>
    <w:multiLevelType w:val="multilevel"/>
    <w:tmpl w:val="222C3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F171DD7"/>
    <w:multiLevelType w:val="hybridMultilevel"/>
    <w:tmpl w:val="D17AD094"/>
    <w:lvl w:ilvl="0" w:tplc="6DACD67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22D7D1A"/>
    <w:multiLevelType w:val="hybridMultilevel"/>
    <w:tmpl w:val="30768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5260F01"/>
    <w:multiLevelType w:val="hybridMultilevel"/>
    <w:tmpl w:val="91B66504"/>
    <w:lvl w:ilvl="0" w:tplc="584A9CBE">
      <w:numFmt w:val="bullet"/>
      <w:lvlText w:val="-"/>
      <w:lvlJc w:val="left"/>
      <w:pPr>
        <w:ind w:left="720" w:hanging="360"/>
      </w:pPr>
      <w:rPr>
        <w:rFonts w:ascii="Calibri" w:eastAsia="Batang"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57667">
    <w:abstractNumId w:val="33"/>
  </w:num>
  <w:num w:numId="2" w16cid:durableId="273825793">
    <w:abstractNumId w:val="25"/>
  </w:num>
  <w:num w:numId="3" w16cid:durableId="542251113">
    <w:abstractNumId w:val="4"/>
  </w:num>
  <w:num w:numId="4" w16cid:durableId="441730938">
    <w:abstractNumId w:val="37"/>
  </w:num>
  <w:num w:numId="5" w16cid:durableId="953445795">
    <w:abstractNumId w:val="16"/>
  </w:num>
  <w:num w:numId="6" w16cid:durableId="711656638">
    <w:abstractNumId w:val="12"/>
  </w:num>
  <w:num w:numId="7" w16cid:durableId="961574725">
    <w:abstractNumId w:val="27"/>
  </w:num>
  <w:num w:numId="8" w16cid:durableId="1279677472">
    <w:abstractNumId w:val="26"/>
  </w:num>
  <w:num w:numId="9" w16cid:durableId="719592543">
    <w:abstractNumId w:val="36"/>
  </w:num>
  <w:num w:numId="10" w16cid:durableId="277414519">
    <w:abstractNumId w:val="11"/>
  </w:num>
  <w:num w:numId="11" w16cid:durableId="1446535492">
    <w:abstractNumId w:val="28"/>
  </w:num>
  <w:num w:numId="12" w16cid:durableId="868035018">
    <w:abstractNumId w:val="22"/>
  </w:num>
  <w:num w:numId="13" w16cid:durableId="2026443237">
    <w:abstractNumId w:val="20"/>
  </w:num>
  <w:num w:numId="14" w16cid:durableId="274875165">
    <w:abstractNumId w:val="9"/>
  </w:num>
  <w:num w:numId="15" w16cid:durableId="921598306">
    <w:abstractNumId w:val="24"/>
  </w:num>
  <w:num w:numId="16" w16cid:durableId="36123212">
    <w:abstractNumId w:val="2"/>
  </w:num>
  <w:num w:numId="17" w16cid:durableId="1787429411">
    <w:abstractNumId w:val="38"/>
  </w:num>
  <w:num w:numId="18" w16cid:durableId="2080639164">
    <w:abstractNumId w:val="17"/>
  </w:num>
  <w:num w:numId="19" w16cid:durableId="341519012">
    <w:abstractNumId w:val="21"/>
  </w:num>
  <w:num w:numId="20" w16cid:durableId="1387992271">
    <w:abstractNumId w:val="39"/>
  </w:num>
  <w:num w:numId="21" w16cid:durableId="1799642806">
    <w:abstractNumId w:val="23"/>
  </w:num>
  <w:num w:numId="22" w16cid:durableId="1829125166">
    <w:abstractNumId w:val="1"/>
  </w:num>
  <w:num w:numId="23" w16cid:durableId="707485253">
    <w:abstractNumId w:val="10"/>
  </w:num>
  <w:num w:numId="24" w16cid:durableId="1167746315">
    <w:abstractNumId w:val="31"/>
  </w:num>
  <w:num w:numId="25" w16cid:durableId="1008673221">
    <w:abstractNumId w:val="3"/>
  </w:num>
  <w:num w:numId="26" w16cid:durableId="329529451">
    <w:abstractNumId w:val="5"/>
  </w:num>
  <w:num w:numId="27" w16cid:durableId="393742626">
    <w:abstractNumId w:val="7"/>
  </w:num>
  <w:num w:numId="28" w16cid:durableId="589385492">
    <w:abstractNumId w:val="30"/>
  </w:num>
  <w:num w:numId="29" w16cid:durableId="349185630">
    <w:abstractNumId w:val="40"/>
  </w:num>
  <w:num w:numId="30" w16cid:durableId="1078746305">
    <w:abstractNumId w:val="19"/>
  </w:num>
  <w:num w:numId="31" w16cid:durableId="2084329859">
    <w:abstractNumId w:val="13"/>
  </w:num>
  <w:num w:numId="32" w16cid:durableId="236285473">
    <w:abstractNumId w:val="32"/>
  </w:num>
  <w:num w:numId="33" w16cid:durableId="845367771">
    <w:abstractNumId w:val="18"/>
  </w:num>
  <w:num w:numId="34" w16cid:durableId="736047781">
    <w:abstractNumId w:val="34"/>
  </w:num>
  <w:num w:numId="35" w16cid:durableId="1568417437">
    <w:abstractNumId w:val="15"/>
  </w:num>
  <w:num w:numId="36" w16cid:durableId="1248346648">
    <w:abstractNumId w:val="0"/>
  </w:num>
  <w:num w:numId="37" w16cid:durableId="1152453686">
    <w:abstractNumId w:val="29"/>
  </w:num>
  <w:num w:numId="38" w16cid:durableId="1167134976">
    <w:abstractNumId w:val="6"/>
  </w:num>
  <w:num w:numId="39" w16cid:durableId="99834107">
    <w:abstractNumId w:val="14"/>
  </w:num>
  <w:num w:numId="40" w16cid:durableId="953248722">
    <w:abstractNumId w:val="35"/>
  </w:num>
  <w:num w:numId="41" w16cid:durableId="1183862316">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MDQxtzQ0tDAzMjJV0lEKTi0uzszPAykwrQUABjn4kywAAAA="/>
  </w:docVars>
  <w:rsids>
    <w:rsidRoot w:val="00FE5674"/>
    <w:rsid w:val="000005D3"/>
    <w:rsid w:val="000049D8"/>
    <w:rsid w:val="00012923"/>
    <w:rsid w:val="0001589F"/>
    <w:rsid w:val="000205EE"/>
    <w:rsid w:val="00021EBA"/>
    <w:rsid w:val="00026AAB"/>
    <w:rsid w:val="00036A03"/>
    <w:rsid w:val="00036B9E"/>
    <w:rsid w:val="00037DF4"/>
    <w:rsid w:val="00042FFA"/>
    <w:rsid w:val="00044DE4"/>
    <w:rsid w:val="0004700E"/>
    <w:rsid w:val="000656CD"/>
    <w:rsid w:val="00065E0E"/>
    <w:rsid w:val="00065E21"/>
    <w:rsid w:val="00066B85"/>
    <w:rsid w:val="00070C13"/>
    <w:rsid w:val="000715C9"/>
    <w:rsid w:val="00081EBE"/>
    <w:rsid w:val="00081FC9"/>
    <w:rsid w:val="00082035"/>
    <w:rsid w:val="00084F33"/>
    <w:rsid w:val="0008507C"/>
    <w:rsid w:val="000864B3"/>
    <w:rsid w:val="000A77A7"/>
    <w:rsid w:val="000B1707"/>
    <w:rsid w:val="000B55DF"/>
    <w:rsid w:val="000B5DA4"/>
    <w:rsid w:val="000C0F74"/>
    <w:rsid w:val="000C0FEE"/>
    <w:rsid w:val="000C1B3E"/>
    <w:rsid w:val="000C349E"/>
    <w:rsid w:val="000C5848"/>
    <w:rsid w:val="000D1D25"/>
    <w:rsid w:val="000D31B5"/>
    <w:rsid w:val="000F0C27"/>
    <w:rsid w:val="001004F4"/>
    <w:rsid w:val="00103FFF"/>
    <w:rsid w:val="0010494D"/>
    <w:rsid w:val="00110AE7"/>
    <w:rsid w:val="00114F7D"/>
    <w:rsid w:val="0012231B"/>
    <w:rsid w:val="00122B69"/>
    <w:rsid w:val="0013209A"/>
    <w:rsid w:val="00135A91"/>
    <w:rsid w:val="00135B0A"/>
    <w:rsid w:val="00136FB1"/>
    <w:rsid w:val="00165F02"/>
    <w:rsid w:val="00177F4D"/>
    <w:rsid w:val="00180DDA"/>
    <w:rsid w:val="001817F0"/>
    <w:rsid w:val="00181CC4"/>
    <w:rsid w:val="00181E13"/>
    <w:rsid w:val="00184F61"/>
    <w:rsid w:val="00194343"/>
    <w:rsid w:val="001A1520"/>
    <w:rsid w:val="001B2A2D"/>
    <w:rsid w:val="001B737D"/>
    <w:rsid w:val="001C44A3"/>
    <w:rsid w:val="001C4813"/>
    <w:rsid w:val="001C533A"/>
    <w:rsid w:val="001E0E15"/>
    <w:rsid w:val="001E576E"/>
    <w:rsid w:val="001F297E"/>
    <w:rsid w:val="001F528A"/>
    <w:rsid w:val="001F704E"/>
    <w:rsid w:val="001F733C"/>
    <w:rsid w:val="00201722"/>
    <w:rsid w:val="00202F66"/>
    <w:rsid w:val="002059EF"/>
    <w:rsid w:val="002125B0"/>
    <w:rsid w:val="002153B5"/>
    <w:rsid w:val="002276C9"/>
    <w:rsid w:val="002300CD"/>
    <w:rsid w:val="00233F46"/>
    <w:rsid w:val="00243228"/>
    <w:rsid w:val="00245AA9"/>
    <w:rsid w:val="00251425"/>
    <w:rsid w:val="00251483"/>
    <w:rsid w:val="002514AF"/>
    <w:rsid w:val="00255CAA"/>
    <w:rsid w:val="00264305"/>
    <w:rsid w:val="0027236F"/>
    <w:rsid w:val="002734B4"/>
    <w:rsid w:val="00276488"/>
    <w:rsid w:val="00283A18"/>
    <w:rsid w:val="002853AE"/>
    <w:rsid w:val="0028701D"/>
    <w:rsid w:val="002A0346"/>
    <w:rsid w:val="002A1722"/>
    <w:rsid w:val="002A32F2"/>
    <w:rsid w:val="002A4487"/>
    <w:rsid w:val="002A6F66"/>
    <w:rsid w:val="002B441C"/>
    <w:rsid w:val="002B49E9"/>
    <w:rsid w:val="002C632E"/>
    <w:rsid w:val="002C65B1"/>
    <w:rsid w:val="002D3E8B"/>
    <w:rsid w:val="002D4575"/>
    <w:rsid w:val="002D5C0C"/>
    <w:rsid w:val="002E03D1"/>
    <w:rsid w:val="002E2FB1"/>
    <w:rsid w:val="002E6B74"/>
    <w:rsid w:val="002E6FCA"/>
    <w:rsid w:val="002E78C2"/>
    <w:rsid w:val="002F4AA9"/>
    <w:rsid w:val="002F7D70"/>
    <w:rsid w:val="003002E9"/>
    <w:rsid w:val="003203AB"/>
    <w:rsid w:val="00325B9F"/>
    <w:rsid w:val="00342F93"/>
    <w:rsid w:val="00356CD0"/>
    <w:rsid w:val="00362CD9"/>
    <w:rsid w:val="003761CA"/>
    <w:rsid w:val="003767E3"/>
    <w:rsid w:val="003800DA"/>
    <w:rsid w:val="003808F9"/>
    <w:rsid w:val="00380DAF"/>
    <w:rsid w:val="00392FC6"/>
    <w:rsid w:val="00394293"/>
    <w:rsid w:val="00396F4B"/>
    <w:rsid w:val="003972CE"/>
    <w:rsid w:val="003B1D2A"/>
    <w:rsid w:val="003B28F5"/>
    <w:rsid w:val="003B390E"/>
    <w:rsid w:val="003B481D"/>
    <w:rsid w:val="003B7B7D"/>
    <w:rsid w:val="003C1BB1"/>
    <w:rsid w:val="003C54CB"/>
    <w:rsid w:val="003C7A2A"/>
    <w:rsid w:val="003D2DC1"/>
    <w:rsid w:val="003D4D0B"/>
    <w:rsid w:val="003D69D0"/>
    <w:rsid w:val="003F2918"/>
    <w:rsid w:val="003F430E"/>
    <w:rsid w:val="004058A0"/>
    <w:rsid w:val="0041088C"/>
    <w:rsid w:val="00412DD0"/>
    <w:rsid w:val="00413E93"/>
    <w:rsid w:val="00420A38"/>
    <w:rsid w:val="00424EDC"/>
    <w:rsid w:val="00425D98"/>
    <w:rsid w:val="00431B19"/>
    <w:rsid w:val="00463221"/>
    <w:rsid w:val="004661AD"/>
    <w:rsid w:val="004766B3"/>
    <w:rsid w:val="00484EBF"/>
    <w:rsid w:val="004A6C1D"/>
    <w:rsid w:val="004C0C05"/>
    <w:rsid w:val="004C2DEB"/>
    <w:rsid w:val="004C754D"/>
    <w:rsid w:val="004D0531"/>
    <w:rsid w:val="004D1D85"/>
    <w:rsid w:val="004D361E"/>
    <w:rsid w:val="004D3C3A"/>
    <w:rsid w:val="004E1B19"/>
    <w:rsid w:val="004E1CD1"/>
    <w:rsid w:val="004E21B8"/>
    <w:rsid w:val="004F7EFC"/>
    <w:rsid w:val="00500CE7"/>
    <w:rsid w:val="00501156"/>
    <w:rsid w:val="0050787B"/>
    <w:rsid w:val="005107EB"/>
    <w:rsid w:val="00510B63"/>
    <w:rsid w:val="00511277"/>
    <w:rsid w:val="00516430"/>
    <w:rsid w:val="00521345"/>
    <w:rsid w:val="005232B8"/>
    <w:rsid w:val="00523A26"/>
    <w:rsid w:val="00526DF0"/>
    <w:rsid w:val="00535139"/>
    <w:rsid w:val="0054063B"/>
    <w:rsid w:val="00545CC4"/>
    <w:rsid w:val="00551FFF"/>
    <w:rsid w:val="005607A2"/>
    <w:rsid w:val="00564C7D"/>
    <w:rsid w:val="00565B05"/>
    <w:rsid w:val="0057198B"/>
    <w:rsid w:val="00573CFE"/>
    <w:rsid w:val="0057460F"/>
    <w:rsid w:val="005802F4"/>
    <w:rsid w:val="005969F2"/>
    <w:rsid w:val="00597FAE"/>
    <w:rsid w:val="005B32A3"/>
    <w:rsid w:val="005C077A"/>
    <w:rsid w:val="005C0D44"/>
    <w:rsid w:val="005C14D5"/>
    <w:rsid w:val="005C3CA6"/>
    <w:rsid w:val="005C566C"/>
    <w:rsid w:val="005C7E69"/>
    <w:rsid w:val="005E14F5"/>
    <w:rsid w:val="005E262D"/>
    <w:rsid w:val="005E6CE2"/>
    <w:rsid w:val="005F23D3"/>
    <w:rsid w:val="005F7E20"/>
    <w:rsid w:val="00605E43"/>
    <w:rsid w:val="006113E8"/>
    <w:rsid w:val="0061171D"/>
    <w:rsid w:val="006133EC"/>
    <w:rsid w:val="006153BB"/>
    <w:rsid w:val="00632874"/>
    <w:rsid w:val="00633547"/>
    <w:rsid w:val="00634A7A"/>
    <w:rsid w:val="00662239"/>
    <w:rsid w:val="00664189"/>
    <w:rsid w:val="006652C3"/>
    <w:rsid w:val="00665D80"/>
    <w:rsid w:val="00667C97"/>
    <w:rsid w:val="00681A10"/>
    <w:rsid w:val="006906A8"/>
    <w:rsid w:val="00691FD0"/>
    <w:rsid w:val="00692148"/>
    <w:rsid w:val="00694E48"/>
    <w:rsid w:val="006A1A1E"/>
    <w:rsid w:val="006B5337"/>
    <w:rsid w:val="006C5948"/>
    <w:rsid w:val="006D3734"/>
    <w:rsid w:val="006E052C"/>
    <w:rsid w:val="006E2E17"/>
    <w:rsid w:val="006E30FD"/>
    <w:rsid w:val="006F2A74"/>
    <w:rsid w:val="006F7FBB"/>
    <w:rsid w:val="007000D4"/>
    <w:rsid w:val="00704A22"/>
    <w:rsid w:val="007118F5"/>
    <w:rsid w:val="00712AA4"/>
    <w:rsid w:val="007146C4"/>
    <w:rsid w:val="007155EB"/>
    <w:rsid w:val="0071613E"/>
    <w:rsid w:val="00721AA1"/>
    <w:rsid w:val="00724B67"/>
    <w:rsid w:val="00726291"/>
    <w:rsid w:val="0074172B"/>
    <w:rsid w:val="007523D0"/>
    <w:rsid w:val="007547F8"/>
    <w:rsid w:val="00755314"/>
    <w:rsid w:val="00765622"/>
    <w:rsid w:val="00770B6C"/>
    <w:rsid w:val="00772A62"/>
    <w:rsid w:val="00783FEA"/>
    <w:rsid w:val="0079067F"/>
    <w:rsid w:val="007A395D"/>
    <w:rsid w:val="007A4B82"/>
    <w:rsid w:val="007B421E"/>
    <w:rsid w:val="007B6BD5"/>
    <w:rsid w:val="007C183B"/>
    <w:rsid w:val="007C346C"/>
    <w:rsid w:val="007D01F9"/>
    <w:rsid w:val="007D2EEA"/>
    <w:rsid w:val="007E4566"/>
    <w:rsid w:val="007E6479"/>
    <w:rsid w:val="0080294B"/>
    <w:rsid w:val="00804EAE"/>
    <w:rsid w:val="008056B3"/>
    <w:rsid w:val="00821D33"/>
    <w:rsid w:val="0082480E"/>
    <w:rsid w:val="00830BD5"/>
    <w:rsid w:val="00850293"/>
    <w:rsid w:val="00851373"/>
    <w:rsid w:val="00851BA6"/>
    <w:rsid w:val="0085654D"/>
    <w:rsid w:val="00861160"/>
    <w:rsid w:val="0086654F"/>
    <w:rsid w:val="008701A3"/>
    <w:rsid w:val="00872951"/>
    <w:rsid w:val="0087413E"/>
    <w:rsid w:val="00887025"/>
    <w:rsid w:val="008934DD"/>
    <w:rsid w:val="008A03FE"/>
    <w:rsid w:val="008A356F"/>
    <w:rsid w:val="008A4653"/>
    <w:rsid w:val="008A4717"/>
    <w:rsid w:val="008A50CC"/>
    <w:rsid w:val="008A6EEA"/>
    <w:rsid w:val="008B3040"/>
    <w:rsid w:val="008B7A56"/>
    <w:rsid w:val="008C0D30"/>
    <w:rsid w:val="008C215F"/>
    <w:rsid w:val="008C574F"/>
    <w:rsid w:val="008C673F"/>
    <w:rsid w:val="008D0F13"/>
    <w:rsid w:val="008D1694"/>
    <w:rsid w:val="008D6C1F"/>
    <w:rsid w:val="008D79CB"/>
    <w:rsid w:val="008E1380"/>
    <w:rsid w:val="008E3448"/>
    <w:rsid w:val="008F07BC"/>
    <w:rsid w:val="008F67E9"/>
    <w:rsid w:val="008F74DE"/>
    <w:rsid w:val="00903ABD"/>
    <w:rsid w:val="00905BF1"/>
    <w:rsid w:val="00914CCD"/>
    <w:rsid w:val="0091760D"/>
    <w:rsid w:val="00921A9F"/>
    <w:rsid w:val="009247F2"/>
    <w:rsid w:val="00926318"/>
    <w:rsid w:val="0092692B"/>
    <w:rsid w:val="00926974"/>
    <w:rsid w:val="00930561"/>
    <w:rsid w:val="009337D0"/>
    <w:rsid w:val="00940205"/>
    <w:rsid w:val="00943E9C"/>
    <w:rsid w:val="009529EE"/>
    <w:rsid w:val="00953F4D"/>
    <w:rsid w:val="00960BB8"/>
    <w:rsid w:val="00963E80"/>
    <w:rsid w:val="00964F5C"/>
    <w:rsid w:val="009724EA"/>
    <w:rsid w:val="00973B57"/>
    <w:rsid w:val="0097539C"/>
    <w:rsid w:val="00975900"/>
    <w:rsid w:val="00975D11"/>
    <w:rsid w:val="009831C0"/>
    <w:rsid w:val="00985CF0"/>
    <w:rsid w:val="0099161D"/>
    <w:rsid w:val="009967A5"/>
    <w:rsid w:val="009974D4"/>
    <w:rsid w:val="009B57CD"/>
    <w:rsid w:val="009B74C5"/>
    <w:rsid w:val="009B7BC4"/>
    <w:rsid w:val="009C19E3"/>
    <w:rsid w:val="009D057D"/>
    <w:rsid w:val="009D2F71"/>
    <w:rsid w:val="009D3E6C"/>
    <w:rsid w:val="009E0F8F"/>
    <w:rsid w:val="009E69F7"/>
    <w:rsid w:val="009F3D4A"/>
    <w:rsid w:val="009F4C64"/>
    <w:rsid w:val="00A0389B"/>
    <w:rsid w:val="00A06552"/>
    <w:rsid w:val="00A07AF4"/>
    <w:rsid w:val="00A1615C"/>
    <w:rsid w:val="00A16313"/>
    <w:rsid w:val="00A1667C"/>
    <w:rsid w:val="00A26D9E"/>
    <w:rsid w:val="00A32C39"/>
    <w:rsid w:val="00A33A3C"/>
    <w:rsid w:val="00A371AA"/>
    <w:rsid w:val="00A40BAA"/>
    <w:rsid w:val="00A4190E"/>
    <w:rsid w:val="00A446C9"/>
    <w:rsid w:val="00A45295"/>
    <w:rsid w:val="00A546B7"/>
    <w:rsid w:val="00A635D6"/>
    <w:rsid w:val="00A671E3"/>
    <w:rsid w:val="00A8553A"/>
    <w:rsid w:val="00A86F46"/>
    <w:rsid w:val="00A93AED"/>
    <w:rsid w:val="00A975D7"/>
    <w:rsid w:val="00AA6709"/>
    <w:rsid w:val="00AD0460"/>
    <w:rsid w:val="00AD352D"/>
    <w:rsid w:val="00AE1319"/>
    <w:rsid w:val="00AE34BB"/>
    <w:rsid w:val="00AF3358"/>
    <w:rsid w:val="00B066DE"/>
    <w:rsid w:val="00B075F7"/>
    <w:rsid w:val="00B15B65"/>
    <w:rsid w:val="00B222EA"/>
    <w:rsid w:val="00B226F2"/>
    <w:rsid w:val="00B274DF"/>
    <w:rsid w:val="00B32C10"/>
    <w:rsid w:val="00B51CF0"/>
    <w:rsid w:val="00B52706"/>
    <w:rsid w:val="00B56BDF"/>
    <w:rsid w:val="00B607E3"/>
    <w:rsid w:val="00B65812"/>
    <w:rsid w:val="00B70096"/>
    <w:rsid w:val="00B70900"/>
    <w:rsid w:val="00B766DC"/>
    <w:rsid w:val="00B8119E"/>
    <w:rsid w:val="00B85CD6"/>
    <w:rsid w:val="00B90A27"/>
    <w:rsid w:val="00B93ADD"/>
    <w:rsid w:val="00B9554D"/>
    <w:rsid w:val="00BB2B9F"/>
    <w:rsid w:val="00BB3375"/>
    <w:rsid w:val="00BB511A"/>
    <w:rsid w:val="00BB7D9E"/>
    <w:rsid w:val="00BC1DCB"/>
    <w:rsid w:val="00BC2334"/>
    <w:rsid w:val="00BD3CB8"/>
    <w:rsid w:val="00BD4E6F"/>
    <w:rsid w:val="00BD5B1C"/>
    <w:rsid w:val="00BE195A"/>
    <w:rsid w:val="00BF32F0"/>
    <w:rsid w:val="00BF4DCE"/>
    <w:rsid w:val="00C0157A"/>
    <w:rsid w:val="00C0222F"/>
    <w:rsid w:val="00C05CE5"/>
    <w:rsid w:val="00C05D00"/>
    <w:rsid w:val="00C13FDD"/>
    <w:rsid w:val="00C20B5A"/>
    <w:rsid w:val="00C235B3"/>
    <w:rsid w:val="00C244A2"/>
    <w:rsid w:val="00C501C2"/>
    <w:rsid w:val="00C501C7"/>
    <w:rsid w:val="00C6171E"/>
    <w:rsid w:val="00C6238B"/>
    <w:rsid w:val="00C63E20"/>
    <w:rsid w:val="00C64A71"/>
    <w:rsid w:val="00C67F5C"/>
    <w:rsid w:val="00C709B6"/>
    <w:rsid w:val="00C71042"/>
    <w:rsid w:val="00C9159C"/>
    <w:rsid w:val="00C91BB3"/>
    <w:rsid w:val="00C92762"/>
    <w:rsid w:val="00C977E8"/>
    <w:rsid w:val="00CA6F2C"/>
    <w:rsid w:val="00CC28BF"/>
    <w:rsid w:val="00CC3E50"/>
    <w:rsid w:val="00CC76CB"/>
    <w:rsid w:val="00CD19D9"/>
    <w:rsid w:val="00CD6A13"/>
    <w:rsid w:val="00CF1871"/>
    <w:rsid w:val="00CF30C4"/>
    <w:rsid w:val="00CF3950"/>
    <w:rsid w:val="00CF4008"/>
    <w:rsid w:val="00CF40FB"/>
    <w:rsid w:val="00D0056A"/>
    <w:rsid w:val="00D01874"/>
    <w:rsid w:val="00D019CE"/>
    <w:rsid w:val="00D02FDC"/>
    <w:rsid w:val="00D1133E"/>
    <w:rsid w:val="00D11E44"/>
    <w:rsid w:val="00D13FBE"/>
    <w:rsid w:val="00D17A34"/>
    <w:rsid w:val="00D22F1D"/>
    <w:rsid w:val="00D26628"/>
    <w:rsid w:val="00D332B3"/>
    <w:rsid w:val="00D34EE9"/>
    <w:rsid w:val="00D42FA8"/>
    <w:rsid w:val="00D50954"/>
    <w:rsid w:val="00D55207"/>
    <w:rsid w:val="00D55C65"/>
    <w:rsid w:val="00D56102"/>
    <w:rsid w:val="00D62A29"/>
    <w:rsid w:val="00D72454"/>
    <w:rsid w:val="00D727C1"/>
    <w:rsid w:val="00D72981"/>
    <w:rsid w:val="00D73574"/>
    <w:rsid w:val="00D75C74"/>
    <w:rsid w:val="00D76CB6"/>
    <w:rsid w:val="00D8141D"/>
    <w:rsid w:val="00D81801"/>
    <w:rsid w:val="00D836FC"/>
    <w:rsid w:val="00D85491"/>
    <w:rsid w:val="00D92B45"/>
    <w:rsid w:val="00D95962"/>
    <w:rsid w:val="00DA7EAB"/>
    <w:rsid w:val="00DB1479"/>
    <w:rsid w:val="00DB4453"/>
    <w:rsid w:val="00DC389B"/>
    <w:rsid w:val="00DC5398"/>
    <w:rsid w:val="00DC6FC8"/>
    <w:rsid w:val="00DD42C2"/>
    <w:rsid w:val="00DD5682"/>
    <w:rsid w:val="00DE0122"/>
    <w:rsid w:val="00DE0542"/>
    <w:rsid w:val="00DE2835"/>
    <w:rsid w:val="00DE2F71"/>
    <w:rsid w:val="00DE2FEE"/>
    <w:rsid w:val="00DE3154"/>
    <w:rsid w:val="00DE39DD"/>
    <w:rsid w:val="00DF1467"/>
    <w:rsid w:val="00DF77B0"/>
    <w:rsid w:val="00DF7BB9"/>
    <w:rsid w:val="00E00BE9"/>
    <w:rsid w:val="00E05D61"/>
    <w:rsid w:val="00E101A6"/>
    <w:rsid w:val="00E22A11"/>
    <w:rsid w:val="00E244BB"/>
    <w:rsid w:val="00E306E9"/>
    <w:rsid w:val="00E30C3F"/>
    <w:rsid w:val="00E30DD5"/>
    <w:rsid w:val="00E31E5C"/>
    <w:rsid w:val="00E323EC"/>
    <w:rsid w:val="00E3375D"/>
    <w:rsid w:val="00E338EA"/>
    <w:rsid w:val="00E351BA"/>
    <w:rsid w:val="00E44DD2"/>
    <w:rsid w:val="00E558C3"/>
    <w:rsid w:val="00E55927"/>
    <w:rsid w:val="00E60540"/>
    <w:rsid w:val="00E6611D"/>
    <w:rsid w:val="00E703CB"/>
    <w:rsid w:val="00E77122"/>
    <w:rsid w:val="00E912A6"/>
    <w:rsid w:val="00E94D9A"/>
    <w:rsid w:val="00E97E5D"/>
    <w:rsid w:val="00EA4844"/>
    <w:rsid w:val="00EA4D9C"/>
    <w:rsid w:val="00EA5218"/>
    <w:rsid w:val="00EA5755"/>
    <w:rsid w:val="00EA5A97"/>
    <w:rsid w:val="00EB2248"/>
    <w:rsid w:val="00EB75EE"/>
    <w:rsid w:val="00EC441B"/>
    <w:rsid w:val="00EC44CB"/>
    <w:rsid w:val="00EE3CC5"/>
    <w:rsid w:val="00EE4C1D"/>
    <w:rsid w:val="00EF3685"/>
    <w:rsid w:val="00EF40B6"/>
    <w:rsid w:val="00EF72D2"/>
    <w:rsid w:val="00F0010F"/>
    <w:rsid w:val="00F0044D"/>
    <w:rsid w:val="00F03808"/>
    <w:rsid w:val="00F04350"/>
    <w:rsid w:val="00F133DB"/>
    <w:rsid w:val="00F155E1"/>
    <w:rsid w:val="00F159EB"/>
    <w:rsid w:val="00F25BF4"/>
    <w:rsid w:val="00F267DB"/>
    <w:rsid w:val="00F319B8"/>
    <w:rsid w:val="00F4111C"/>
    <w:rsid w:val="00F44D86"/>
    <w:rsid w:val="00F46E33"/>
    <w:rsid w:val="00F46F6F"/>
    <w:rsid w:val="00F503E8"/>
    <w:rsid w:val="00F5526C"/>
    <w:rsid w:val="00F60409"/>
    <w:rsid w:val="00F60608"/>
    <w:rsid w:val="00F62217"/>
    <w:rsid w:val="00F84935"/>
    <w:rsid w:val="00F857B9"/>
    <w:rsid w:val="00F941CB"/>
    <w:rsid w:val="00FA255C"/>
    <w:rsid w:val="00FA7625"/>
    <w:rsid w:val="00FB17A9"/>
    <w:rsid w:val="00FB397A"/>
    <w:rsid w:val="00FB527C"/>
    <w:rsid w:val="00FB6F75"/>
    <w:rsid w:val="00FC0EB3"/>
    <w:rsid w:val="00FC1EE0"/>
    <w:rsid w:val="00FD2561"/>
    <w:rsid w:val="00FD2F88"/>
    <w:rsid w:val="00FD675E"/>
    <w:rsid w:val="00FD6ECF"/>
    <w:rsid w:val="00FD78FD"/>
    <w:rsid w:val="00FE41D1"/>
    <w:rsid w:val="00FE5674"/>
    <w:rsid w:val="00FF1BB0"/>
    <w:rsid w:val="00FF27B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1"/>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unhideWhenUsed/>
    <w:rsid w:val="00DB4453"/>
    <w:pPr>
      <w:spacing w:before="100" w:beforeAutospacing="1" w:after="100" w:afterAutospacing="1"/>
    </w:pPr>
    <w:rPr>
      <w:rFonts w:ascii="Times New Roman" w:eastAsia="Times New Roman" w:hAnsi="Times New Roman" w:cs="Times New Roman"/>
      <w:sz w:val="24"/>
      <w:szCs w:val="24"/>
      <w:lang w:eastAsia="ko-KR"/>
    </w:rPr>
  </w:style>
  <w:style w:type="character" w:styleId="Emphasis">
    <w:name w:val="Emphasis"/>
    <w:basedOn w:val="DefaultParagraphFont"/>
    <w:uiPriority w:val="20"/>
    <w:qFormat/>
    <w:rsid w:val="0012231B"/>
    <w:rPr>
      <w:i/>
      <w:iCs/>
    </w:rPr>
  </w:style>
  <w:style w:type="character" w:styleId="Strong">
    <w:name w:val="Strong"/>
    <w:basedOn w:val="DefaultParagraphFont"/>
    <w:uiPriority w:val="22"/>
    <w:qFormat/>
    <w:rsid w:val="00726291"/>
    <w:rPr>
      <w:b/>
      <w:bCs/>
    </w:rPr>
  </w:style>
  <w:style w:type="paragraph" w:customStyle="1" w:styleId="Default">
    <w:name w:val="Default"/>
    <w:rsid w:val="00C6238B"/>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3B48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43758">
      <w:bodyDiv w:val="1"/>
      <w:marLeft w:val="0"/>
      <w:marRight w:val="0"/>
      <w:marTop w:val="0"/>
      <w:marBottom w:val="0"/>
      <w:divBdr>
        <w:top w:val="none" w:sz="0" w:space="0" w:color="auto"/>
        <w:left w:val="none" w:sz="0" w:space="0" w:color="auto"/>
        <w:bottom w:val="none" w:sz="0" w:space="0" w:color="auto"/>
        <w:right w:val="none" w:sz="0" w:space="0" w:color="auto"/>
      </w:divBdr>
    </w:div>
    <w:div w:id="63142587">
      <w:bodyDiv w:val="1"/>
      <w:marLeft w:val="0"/>
      <w:marRight w:val="0"/>
      <w:marTop w:val="0"/>
      <w:marBottom w:val="0"/>
      <w:divBdr>
        <w:top w:val="none" w:sz="0" w:space="0" w:color="auto"/>
        <w:left w:val="none" w:sz="0" w:space="0" w:color="auto"/>
        <w:bottom w:val="none" w:sz="0" w:space="0" w:color="auto"/>
        <w:right w:val="none" w:sz="0" w:space="0" w:color="auto"/>
      </w:divBdr>
    </w:div>
    <w:div w:id="181238837">
      <w:bodyDiv w:val="1"/>
      <w:marLeft w:val="0"/>
      <w:marRight w:val="0"/>
      <w:marTop w:val="0"/>
      <w:marBottom w:val="0"/>
      <w:divBdr>
        <w:top w:val="none" w:sz="0" w:space="0" w:color="auto"/>
        <w:left w:val="none" w:sz="0" w:space="0" w:color="auto"/>
        <w:bottom w:val="none" w:sz="0" w:space="0" w:color="auto"/>
        <w:right w:val="none" w:sz="0" w:space="0" w:color="auto"/>
      </w:divBdr>
    </w:div>
    <w:div w:id="197594505">
      <w:bodyDiv w:val="1"/>
      <w:marLeft w:val="0"/>
      <w:marRight w:val="0"/>
      <w:marTop w:val="0"/>
      <w:marBottom w:val="0"/>
      <w:divBdr>
        <w:top w:val="none" w:sz="0" w:space="0" w:color="auto"/>
        <w:left w:val="none" w:sz="0" w:space="0" w:color="auto"/>
        <w:bottom w:val="none" w:sz="0" w:space="0" w:color="auto"/>
        <w:right w:val="none" w:sz="0" w:space="0" w:color="auto"/>
      </w:divBdr>
    </w:div>
    <w:div w:id="236595374">
      <w:bodyDiv w:val="1"/>
      <w:marLeft w:val="0"/>
      <w:marRight w:val="0"/>
      <w:marTop w:val="0"/>
      <w:marBottom w:val="0"/>
      <w:divBdr>
        <w:top w:val="none" w:sz="0" w:space="0" w:color="auto"/>
        <w:left w:val="none" w:sz="0" w:space="0" w:color="auto"/>
        <w:bottom w:val="none" w:sz="0" w:space="0" w:color="auto"/>
        <w:right w:val="none" w:sz="0" w:space="0" w:color="auto"/>
      </w:divBdr>
    </w:div>
    <w:div w:id="244725947">
      <w:bodyDiv w:val="1"/>
      <w:marLeft w:val="0"/>
      <w:marRight w:val="0"/>
      <w:marTop w:val="0"/>
      <w:marBottom w:val="0"/>
      <w:divBdr>
        <w:top w:val="none" w:sz="0" w:space="0" w:color="auto"/>
        <w:left w:val="none" w:sz="0" w:space="0" w:color="auto"/>
        <w:bottom w:val="none" w:sz="0" w:space="0" w:color="auto"/>
        <w:right w:val="none" w:sz="0" w:space="0" w:color="auto"/>
      </w:divBdr>
    </w:div>
    <w:div w:id="281963119">
      <w:bodyDiv w:val="1"/>
      <w:marLeft w:val="0"/>
      <w:marRight w:val="0"/>
      <w:marTop w:val="0"/>
      <w:marBottom w:val="0"/>
      <w:divBdr>
        <w:top w:val="none" w:sz="0" w:space="0" w:color="auto"/>
        <w:left w:val="none" w:sz="0" w:space="0" w:color="auto"/>
        <w:bottom w:val="none" w:sz="0" w:space="0" w:color="auto"/>
        <w:right w:val="none" w:sz="0" w:space="0" w:color="auto"/>
      </w:divBdr>
    </w:div>
    <w:div w:id="305209174">
      <w:bodyDiv w:val="1"/>
      <w:marLeft w:val="0"/>
      <w:marRight w:val="0"/>
      <w:marTop w:val="0"/>
      <w:marBottom w:val="0"/>
      <w:divBdr>
        <w:top w:val="none" w:sz="0" w:space="0" w:color="auto"/>
        <w:left w:val="none" w:sz="0" w:space="0" w:color="auto"/>
        <w:bottom w:val="none" w:sz="0" w:space="0" w:color="auto"/>
        <w:right w:val="none" w:sz="0" w:space="0" w:color="auto"/>
      </w:divBdr>
    </w:div>
    <w:div w:id="317345772">
      <w:bodyDiv w:val="1"/>
      <w:marLeft w:val="0"/>
      <w:marRight w:val="0"/>
      <w:marTop w:val="0"/>
      <w:marBottom w:val="0"/>
      <w:divBdr>
        <w:top w:val="none" w:sz="0" w:space="0" w:color="auto"/>
        <w:left w:val="none" w:sz="0" w:space="0" w:color="auto"/>
        <w:bottom w:val="none" w:sz="0" w:space="0" w:color="auto"/>
        <w:right w:val="none" w:sz="0" w:space="0" w:color="auto"/>
      </w:divBdr>
    </w:div>
    <w:div w:id="318776726">
      <w:bodyDiv w:val="1"/>
      <w:marLeft w:val="0"/>
      <w:marRight w:val="0"/>
      <w:marTop w:val="0"/>
      <w:marBottom w:val="0"/>
      <w:divBdr>
        <w:top w:val="none" w:sz="0" w:space="0" w:color="auto"/>
        <w:left w:val="none" w:sz="0" w:space="0" w:color="auto"/>
        <w:bottom w:val="none" w:sz="0" w:space="0" w:color="auto"/>
        <w:right w:val="none" w:sz="0" w:space="0" w:color="auto"/>
      </w:divBdr>
    </w:div>
    <w:div w:id="322271780">
      <w:bodyDiv w:val="1"/>
      <w:marLeft w:val="0"/>
      <w:marRight w:val="0"/>
      <w:marTop w:val="0"/>
      <w:marBottom w:val="0"/>
      <w:divBdr>
        <w:top w:val="none" w:sz="0" w:space="0" w:color="auto"/>
        <w:left w:val="none" w:sz="0" w:space="0" w:color="auto"/>
        <w:bottom w:val="none" w:sz="0" w:space="0" w:color="auto"/>
        <w:right w:val="none" w:sz="0" w:space="0" w:color="auto"/>
      </w:divBdr>
    </w:div>
    <w:div w:id="489836414">
      <w:bodyDiv w:val="1"/>
      <w:marLeft w:val="0"/>
      <w:marRight w:val="0"/>
      <w:marTop w:val="0"/>
      <w:marBottom w:val="0"/>
      <w:divBdr>
        <w:top w:val="none" w:sz="0" w:space="0" w:color="auto"/>
        <w:left w:val="none" w:sz="0" w:space="0" w:color="auto"/>
        <w:bottom w:val="none" w:sz="0" w:space="0" w:color="auto"/>
        <w:right w:val="none" w:sz="0" w:space="0" w:color="auto"/>
      </w:divBdr>
    </w:div>
    <w:div w:id="490290154">
      <w:bodyDiv w:val="1"/>
      <w:marLeft w:val="0"/>
      <w:marRight w:val="0"/>
      <w:marTop w:val="0"/>
      <w:marBottom w:val="0"/>
      <w:divBdr>
        <w:top w:val="none" w:sz="0" w:space="0" w:color="auto"/>
        <w:left w:val="none" w:sz="0" w:space="0" w:color="auto"/>
        <w:bottom w:val="none" w:sz="0" w:space="0" w:color="auto"/>
        <w:right w:val="none" w:sz="0" w:space="0" w:color="auto"/>
      </w:divBdr>
    </w:div>
    <w:div w:id="599873509">
      <w:bodyDiv w:val="1"/>
      <w:marLeft w:val="0"/>
      <w:marRight w:val="0"/>
      <w:marTop w:val="0"/>
      <w:marBottom w:val="0"/>
      <w:divBdr>
        <w:top w:val="none" w:sz="0" w:space="0" w:color="auto"/>
        <w:left w:val="none" w:sz="0" w:space="0" w:color="auto"/>
        <w:bottom w:val="none" w:sz="0" w:space="0" w:color="auto"/>
        <w:right w:val="none" w:sz="0" w:space="0" w:color="auto"/>
      </w:divBdr>
    </w:div>
    <w:div w:id="689379016">
      <w:bodyDiv w:val="1"/>
      <w:marLeft w:val="0"/>
      <w:marRight w:val="0"/>
      <w:marTop w:val="0"/>
      <w:marBottom w:val="0"/>
      <w:divBdr>
        <w:top w:val="none" w:sz="0" w:space="0" w:color="auto"/>
        <w:left w:val="none" w:sz="0" w:space="0" w:color="auto"/>
        <w:bottom w:val="none" w:sz="0" w:space="0" w:color="auto"/>
        <w:right w:val="none" w:sz="0" w:space="0" w:color="auto"/>
      </w:divBdr>
    </w:div>
    <w:div w:id="737871190">
      <w:bodyDiv w:val="1"/>
      <w:marLeft w:val="0"/>
      <w:marRight w:val="0"/>
      <w:marTop w:val="0"/>
      <w:marBottom w:val="0"/>
      <w:divBdr>
        <w:top w:val="none" w:sz="0" w:space="0" w:color="auto"/>
        <w:left w:val="none" w:sz="0" w:space="0" w:color="auto"/>
        <w:bottom w:val="none" w:sz="0" w:space="0" w:color="auto"/>
        <w:right w:val="none" w:sz="0" w:space="0" w:color="auto"/>
      </w:divBdr>
    </w:div>
    <w:div w:id="760881200">
      <w:bodyDiv w:val="1"/>
      <w:marLeft w:val="0"/>
      <w:marRight w:val="0"/>
      <w:marTop w:val="0"/>
      <w:marBottom w:val="0"/>
      <w:divBdr>
        <w:top w:val="none" w:sz="0" w:space="0" w:color="auto"/>
        <w:left w:val="none" w:sz="0" w:space="0" w:color="auto"/>
        <w:bottom w:val="none" w:sz="0" w:space="0" w:color="auto"/>
        <w:right w:val="none" w:sz="0" w:space="0" w:color="auto"/>
      </w:divBdr>
    </w:div>
    <w:div w:id="785075497">
      <w:bodyDiv w:val="1"/>
      <w:marLeft w:val="0"/>
      <w:marRight w:val="0"/>
      <w:marTop w:val="0"/>
      <w:marBottom w:val="0"/>
      <w:divBdr>
        <w:top w:val="none" w:sz="0" w:space="0" w:color="auto"/>
        <w:left w:val="none" w:sz="0" w:space="0" w:color="auto"/>
        <w:bottom w:val="none" w:sz="0" w:space="0" w:color="auto"/>
        <w:right w:val="none" w:sz="0" w:space="0" w:color="auto"/>
      </w:divBdr>
    </w:div>
    <w:div w:id="794952839">
      <w:bodyDiv w:val="1"/>
      <w:marLeft w:val="0"/>
      <w:marRight w:val="0"/>
      <w:marTop w:val="0"/>
      <w:marBottom w:val="0"/>
      <w:divBdr>
        <w:top w:val="none" w:sz="0" w:space="0" w:color="auto"/>
        <w:left w:val="none" w:sz="0" w:space="0" w:color="auto"/>
        <w:bottom w:val="none" w:sz="0" w:space="0" w:color="auto"/>
        <w:right w:val="none" w:sz="0" w:space="0" w:color="auto"/>
      </w:divBdr>
    </w:div>
    <w:div w:id="871114815">
      <w:bodyDiv w:val="1"/>
      <w:marLeft w:val="0"/>
      <w:marRight w:val="0"/>
      <w:marTop w:val="0"/>
      <w:marBottom w:val="0"/>
      <w:divBdr>
        <w:top w:val="none" w:sz="0" w:space="0" w:color="auto"/>
        <w:left w:val="none" w:sz="0" w:space="0" w:color="auto"/>
        <w:bottom w:val="none" w:sz="0" w:space="0" w:color="auto"/>
        <w:right w:val="none" w:sz="0" w:space="0" w:color="auto"/>
      </w:divBdr>
    </w:div>
    <w:div w:id="907228211">
      <w:bodyDiv w:val="1"/>
      <w:marLeft w:val="0"/>
      <w:marRight w:val="0"/>
      <w:marTop w:val="0"/>
      <w:marBottom w:val="0"/>
      <w:divBdr>
        <w:top w:val="none" w:sz="0" w:space="0" w:color="auto"/>
        <w:left w:val="none" w:sz="0" w:space="0" w:color="auto"/>
        <w:bottom w:val="none" w:sz="0" w:space="0" w:color="auto"/>
        <w:right w:val="none" w:sz="0" w:space="0" w:color="auto"/>
      </w:divBdr>
    </w:div>
    <w:div w:id="942031748">
      <w:bodyDiv w:val="1"/>
      <w:marLeft w:val="0"/>
      <w:marRight w:val="0"/>
      <w:marTop w:val="0"/>
      <w:marBottom w:val="0"/>
      <w:divBdr>
        <w:top w:val="none" w:sz="0" w:space="0" w:color="auto"/>
        <w:left w:val="none" w:sz="0" w:space="0" w:color="auto"/>
        <w:bottom w:val="none" w:sz="0" w:space="0" w:color="auto"/>
        <w:right w:val="none" w:sz="0" w:space="0" w:color="auto"/>
      </w:divBdr>
    </w:div>
    <w:div w:id="950673108">
      <w:bodyDiv w:val="1"/>
      <w:marLeft w:val="0"/>
      <w:marRight w:val="0"/>
      <w:marTop w:val="0"/>
      <w:marBottom w:val="0"/>
      <w:divBdr>
        <w:top w:val="none" w:sz="0" w:space="0" w:color="auto"/>
        <w:left w:val="none" w:sz="0" w:space="0" w:color="auto"/>
        <w:bottom w:val="none" w:sz="0" w:space="0" w:color="auto"/>
        <w:right w:val="none" w:sz="0" w:space="0" w:color="auto"/>
      </w:divBdr>
    </w:div>
    <w:div w:id="951673203">
      <w:bodyDiv w:val="1"/>
      <w:marLeft w:val="0"/>
      <w:marRight w:val="0"/>
      <w:marTop w:val="0"/>
      <w:marBottom w:val="0"/>
      <w:divBdr>
        <w:top w:val="none" w:sz="0" w:space="0" w:color="auto"/>
        <w:left w:val="none" w:sz="0" w:space="0" w:color="auto"/>
        <w:bottom w:val="none" w:sz="0" w:space="0" w:color="auto"/>
        <w:right w:val="none" w:sz="0" w:space="0" w:color="auto"/>
      </w:divBdr>
    </w:div>
    <w:div w:id="1051687022">
      <w:bodyDiv w:val="1"/>
      <w:marLeft w:val="0"/>
      <w:marRight w:val="0"/>
      <w:marTop w:val="0"/>
      <w:marBottom w:val="0"/>
      <w:divBdr>
        <w:top w:val="none" w:sz="0" w:space="0" w:color="auto"/>
        <w:left w:val="none" w:sz="0" w:space="0" w:color="auto"/>
        <w:bottom w:val="none" w:sz="0" w:space="0" w:color="auto"/>
        <w:right w:val="none" w:sz="0" w:space="0" w:color="auto"/>
      </w:divBdr>
    </w:div>
    <w:div w:id="1066807720">
      <w:bodyDiv w:val="1"/>
      <w:marLeft w:val="0"/>
      <w:marRight w:val="0"/>
      <w:marTop w:val="0"/>
      <w:marBottom w:val="0"/>
      <w:divBdr>
        <w:top w:val="none" w:sz="0" w:space="0" w:color="auto"/>
        <w:left w:val="none" w:sz="0" w:space="0" w:color="auto"/>
        <w:bottom w:val="none" w:sz="0" w:space="0" w:color="auto"/>
        <w:right w:val="none" w:sz="0" w:space="0" w:color="auto"/>
      </w:divBdr>
    </w:div>
    <w:div w:id="1078015110">
      <w:bodyDiv w:val="1"/>
      <w:marLeft w:val="0"/>
      <w:marRight w:val="0"/>
      <w:marTop w:val="0"/>
      <w:marBottom w:val="0"/>
      <w:divBdr>
        <w:top w:val="none" w:sz="0" w:space="0" w:color="auto"/>
        <w:left w:val="none" w:sz="0" w:space="0" w:color="auto"/>
        <w:bottom w:val="none" w:sz="0" w:space="0" w:color="auto"/>
        <w:right w:val="none" w:sz="0" w:space="0" w:color="auto"/>
      </w:divBdr>
    </w:div>
    <w:div w:id="1166895633">
      <w:bodyDiv w:val="1"/>
      <w:marLeft w:val="0"/>
      <w:marRight w:val="0"/>
      <w:marTop w:val="0"/>
      <w:marBottom w:val="0"/>
      <w:divBdr>
        <w:top w:val="none" w:sz="0" w:space="0" w:color="auto"/>
        <w:left w:val="none" w:sz="0" w:space="0" w:color="auto"/>
        <w:bottom w:val="none" w:sz="0" w:space="0" w:color="auto"/>
        <w:right w:val="none" w:sz="0" w:space="0" w:color="auto"/>
      </w:divBdr>
    </w:div>
    <w:div w:id="1193610552">
      <w:bodyDiv w:val="1"/>
      <w:marLeft w:val="0"/>
      <w:marRight w:val="0"/>
      <w:marTop w:val="0"/>
      <w:marBottom w:val="0"/>
      <w:divBdr>
        <w:top w:val="none" w:sz="0" w:space="0" w:color="auto"/>
        <w:left w:val="none" w:sz="0" w:space="0" w:color="auto"/>
        <w:bottom w:val="none" w:sz="0" w:space="0" w:color="auto"/>
        <w:right w:val="none" w:sz="0" w:space="0" w:color="auto"/>
      </w:divBdr>
    </w:div>
    <w:div w:id="1222520429">
      <w:bodyDiv w:val="1"/>
      <w:marLeft w:val="0"/>
      <w:marRight w:val="0"/>
      <w:marTop w:val="0"/>
      <w:marBottom w:val="0"/>
      <w:divBdr>
        <w:top w:val="none" w:sz="0" w:space="0" w:color="auto"/>
        <w:left w:val="none" w:sz="0" w:space="0" w:color="auto"/>
        <w:bottom w:val="none" w:sz="0" w:space="0" w:color="auto"/>
        <w:right w:val="none" w:sz="0" w:space="0" w:color="auto"/>
      </w:divBdr>
    </w:div>
    <w:div w:id="1263298283">
      <w:bodyDiv w:val="1"/>
      <w:marLeft w:val="0"/>
      <w:marRight w:val="0"/>
      <w:marTop w:val="0"/>
      <w:marBottom w:val="0"/>
      <w:divBdr>
        <w:top w:val="none" w:sz="0" w:space="0" w:color="auto"/>
        <w:left w:val="none" w:sz="0" w:space="0" w:color="auto"/>
        <w:bottom w:val="none" w:sz="0" w:space="0" w:color="auto"/>
        <w:right w:val="none" w:sz="0" w:space="0" w:color="auto"/>
      </w:divBdr>
    </w:div>
    <w:div w:id="1287661264">
      <w:bodyDiv w:val="1"/>
      <w:marLeft w:val="0"/>
      <w:marRight w:val="0"/>
      <w:marTop w:val="0"/>
      <w:marBottom w:val="0"/>
      <w:divBdr>
        <w:top w:val="none" w:sz="0" w:space="0" w:color="auto"/>
        <w:left w:val="none" w:sz="0" w:space="0" w:color="auto"/>
        <w:bottom w:val="none" w:sz="0" w:space="0" w:color="auto"/>
        <w:right w:val="none" w:sz="0" w:space="0" w:color="auto"/>
      </w:divBdr>
    </w:div>
    <w:div w:id="1303273092">
      <w:bodyDiv w:val="1"/>
      <w:marLeft w:val="0"/>
      <w:marRight w:val="0"/>
      <w:marTop w:val="0"/>
      <w:marBottom w:val="0"/>
      <w:divBdr>
        <w:top w:val="none" w:sz="0" w:space="0" w:color="auto"/>
        <w:left w:val="none" w:sz="0" w:space="0" w:color="auto"/>
        <w:bottom w:val="none" w:sz="0" w:space="0" w:color="auto"/>
        <w:right w:val="none" w:sz="0" w:space="0" w:color="auto"/>
      </w:divBdr>
    </w:div>
    <w:div w:id="1336809200">
      <w:bodyDiv w:val="1"/>
      <w:marLeft w:val="0"/>
      <w:marRight w:val="0"/>
      <w:marTop w:val="0"/>
      <w:marBottom w:val="0"/>
      <w:divBdr>
        <w:top w:val="none" w:sz="0" w:space="0" w:color="auto"/>
        <w:left w:val="none" w:sz="0" w:space="0" w:color="auto"/>
        <w:bottom w:val="none" w:sz="0" w:space="0" w:color="auto"/>
        <w:right w:val="none" w:sz="0" w:space="0" w:color="auto"/>
      </w:divBdr>
    </w:div>
    <w:div w:id="1354182772">
      <w:bodyDiv w:val="1"/>
      <w:marLeft w:val="0"/>
      <w:marRight w:val="0"/>
      <w:marTop w:val="0"/>
      <w:marBottom w:val="0"/>
      <w:divBdr>
        <w:top w:val="none" w:sz="0" w:space="0" w:color="auto"/>
        <w:left w:val="none" w:sz="0" w:space="0" w:color="auto"/>
        <w:bottom w:val="none" w:sz="0" w:space="0" w:color="auto"/>
        <w:right w:val="none" w:sz="0" w:space="0" w:color="auto"/>
      </w:divBdr>
    </w:div>
    <w:div w:id="1415009141">
      <w:bodyDiv w:val="1"/>
      <w:marLeft w:val="0"/>
      <w:marRight w:val="0"/>
      <w:marTop w:val="0"/>
      <w:marBottom w:val="0"/>
      <w:divBdr>
        <w:top w:val="none" w:sz="0" w:space="0" w:color="auto"/>
        <w:left w:val="none" w:sz="0" w:space="0" w:color="auto"/>
        <w:bottom w:val="none" w:sz="0" w:space="0" w:color="auto"/>
        <w:right w:val="none" w:sz="0" w:space="0" w:color="auto"/>
      </w:divBdr>
    </w:div>
    <w:div w:id="1469782933">
      <w:bodyDiv w:val="1"/>
      <w:marLeft w:val="0"/>
      <w:marRight w:val="0"/>
      <w:marTop w:val="0"/>
      <w:marBottom w:val="0"/>
      <w:divBdr>
        <w:top w:val="none" w:sz="0" w:space="0" w:color="auto"/>
        <w:left w:val="none" w:sz="0" w:space="0" w:color="auto"/>
        <w:bottom w:val="none" w:sz="0" w:space="0" w:color="auto"/>
        <w:right w:val="none" w:sz="0" w:space="0" w:color="auto"/>
      </w:divBdr>
    </w:div>
    <w:div w:id="1590696283">
      <w:bodyDiv w:val="1"/>
      <w:marLeft w:val="0"/>
      <w:marRight w:val="0"/>
      <w:marTop w:val="0"/>
      <w:marBottom w:val="0"/>
      <w:divBdr>
        <w:top w:val="none" w:sz="0" w:space="0" w:color="auto"/>
        <w:left w:val="none" w:sz="0" w:space="0" w:color="auto"/>
        <w:bottom w:val="none" w:sz="0" w:space="0" w:color="auto"/>
        <w:right w:val="none" w:sz="0" w:space="0" w:color="auto"/>
      </w:divBdr>
    </w:div>
    <w:div w:id="1598715466">
      <w:bodyDiv w:val="1"/>
      <w:marLeft w:val="0"/>
      <w:marRight w:val="0"/>
      <w:marTop w:val="0"/>
      <w:marBottom w:val="0"/>
      <w:divBdr>
        <w:top w:val="none" w:sz="0" w:space="0" w:color="auto"/>
        <w:left w:val="none" w:sz="0" w:space="0" w:color="auto"/>
        <w:bottom w:val="none" w:sz="0" w:space="0" w:color="auto"/>
        <w:right w:val="none" w:sz="0" w:space="0" w:color="auto"/>
      </w:divBdr>
    </w:div>
    <w:div w:id="1618174080">
      <w:bodyDiv w:val="1"/>
      <w:marLeft w:val="0"/>
      <w:marRight w:val="0"/>
      <w:marTop w:val="0"/>
      <w:marBottom w:val="0"/>
      <w:divBdr>
        <w:top w:val="none" w:sz="0" w:space="0" w:color="auto"/>
        <w:left w:val="none" w:sz="0" w:space="0" w:color="auto"/>
        <w:bottom w:val="none" w:sz="0" w:space="0" w:color="auto"/>
        <w:right w:val="none" w:sz="0" w:space="0" w:color="auto"/>
      </w:divBdr>
    </w:div>
    <w:div w:id="1679650555">
      <w:bodyDiv w:val="1"/>
      <w:marLeft w:val="0"/>
      <w:marRight w:val="0"/>
      <w:marTop w:val="0"/>
      <w:marBottom w:val="0"/>
      <w:divBdr>
        <w:top w:val="none" w:sz="0" w:space="0" w:color="auto"/>
        <w:left w:val="none" w:sz="0" w:space="0" w:color="auto"/>
        <w:bottom w:val="none" w:sz="0" w:space="0" w:color="auto"/>
        <w:right w:val="none" w:sz="0" w:space="0" w:color="auto"/>
      </w:divBdr>
    </w:div>
    <w:div w:id="1692489475">
      <w:bodyDiv w:val="1"/>
      <w:marLeft w:val="0"/>
      <w:marRight w:val="0"/>
      <w:marTop w:val="0"/>
      <w:marBottom w:val="0"/>
      <w:divBdr>
        <w:top w:val="none" w:sz="0" w:space="0" w:color="auto"/>
        <w:left w:val="none" w:sz="0" w:space="0" w:color="auto"/>
        <w:bottom w:val="none" w:sz="0" w:space="0" w:color="auto"/>
        <w:right w:val="none" w:sz="0" w:space="0" w:color="auto"/>
      </w:divBdr>
    </w:div>
    <w:div w:id="1703162813">
      <w:bodyDiv w:val="1"/>
      <w:marLeft w:val="0"/>
      <w:marRight w:val="0"/>
      <w:marTop w:val="0"/>
      <w:marBottom w:val="0"/>
      <w:divBdr>
        <w:top w:val="none" w:sz="0" w:space="0" w:color="auto"/>
        <w:left w:val="none" w:sz="0" w:space="0" w:color="auto"/>
        <w:bottom w:val="none" w:sz="0" w:space="0" w:color="auto"/>
        <w:right w:val="none" w:sz="0" w:space="0" w:color="auto"/>
      </w:divBdr>
    </w:div>
    <w:div w:id="1800955468">
      <w:bodyDiv w:val="1"/>
      <w:marLeft w:val="0"/>
      <w:marRight w:val="0"/>
      <w:marTop w:val="0"/>
      <w:marBottom w:val="0"/>
      <w:divBdr>
        <w:top w:val="none" w:sz="0" w:space="0" w:color="auto"/>
        <w:left w:val="none" w:sz="0" w:space="0" w:color="auto"/>
        <w:bottom w:val="none" w:sz="0" w:space="0" w:color="auto"/>
        <w:right w:val="none" w:sz="0" w:space="0" w:color="auto"/>
      </w:divBdr>
    </w:div>
    <w:div w:id="1825387330">
      <w:bodyDiv w:val="1"/>
      <w:marLeft w:val="0"/>
      <w:marRight w:val="0"/>
      <w:marTop w:val="0"/>
      <w:marBottom w:val="0"/>
      <w:divBdr>
        <w:top w:val="none" w:sz="0" w:space="0" w:color="auto"/>
        <w:left w:val="none" w:sz="0" w:space="0" w:color="auto"/>
        <w:bottom w:val="none" w:sz="0" w:space="0" w:color="auto"/>
        <w:right w:val="none" w:sz="0" w:space="0" w:color="auto"/>
      </w:divBdr>
    </w:div>
    <w:div w:id="1877572974">
      <w:bodyDiv w:val="1"/>
      <w:marLeft w:val="0"/>
      <w:marRight w:val="0"/>
      <w:marTop w:val="0"/>
      <w:marBottom w:val="0"/>
      <w:divBdr>
        <w:top w:val="none" w:sz="0" w:space="0" w:color="auto"/>
        <w:left w:val="none" w:sz="0" w:space="0" w:color="auto"/>
        <w:bottom w:val="none" w:sz="0" w:space="0" w:color="auto"/>
        <w:right w:val="none" w:sz="0" w:space="0" w:color="auto"/>
      </w:divBdr>
    </w:div>
    <w:div w:id="1932934263">
      <w:bodyDiv w:val="1"/>
      <w:marLeft w:val="0"/>
      <w:marRight w:val="0"/>
      <w:marTop w:val="0"/>
      <w:marBottom w:val="0"/>
      <w:divBdr>
        <w:top w:val="none" w:sz="0" w:space="0" w:color="auto"/>
        <w:left w:val="none" w:sz="0" w:space="0" w:color="auto"/>
        <w:bottom w:val="none" w:sz="0" w:space="0" w:color="auto"/>
        <w:right w:val="none" w:sz="0" w:space="0" w:color="auto"/>
      </w:divBdr>
    </w:div>
    <w:div w:id="1940870750">
      <w:bodyDiv w:val="1"/>
      <w:marLeft w:val="0"/>
      <w:marRight w:val="0"/>
      <w:marTop w:val="0"/>
      <w:marBottom w:val="0"/>
      <w:divBdr>
        <w:top w:val="none" w:sz="0" w:space="0" w:color="auto"/>
        <w:left w:val="none" w:sz="0" w:space="0" w:color="auto"/>
        <w:bottom w:val="none" w:sz="0" w:space="0" w:color="auto"/>
        <w:right w:val="none" w:sz="0" w:space="0" w:color="auto"/>
      </w:divBdr>
    </w:div>
    <w:div w:id="1972250002">
      <w:bodyDiv w:val="1"/>
      <w:marLeft w:val="0"/>
      <w:marRight w:val="0"/>
      <w:marTop w:val="0"/>
      <w:marBottom w:val="0"/>
      <w:divBdr>
        <w:top w:val="none" w:sz="0" w:space="0" w:color="auto"/>
        <w:left w:val="none" w:sz="0" w:space="0" w:color="auto"/>
        <w:bottom w:val="none" w:sz="0" w:space="0" w:color="auto"/>
        <w:right w:val="none" w:sz="0" w:space="0" w:color="auto"/>
      </w:divBdr>
    </w:div>
    <w:div w:id="1997148374">
      <w:bodyDiv w:val="1"/>
      <w:marLeft w:val="0"/>
      <w:marRight w:val="0"/>
      <w:marTop w:val="0"/>
      <w:marBottom w:val="0"/>
      <w:divBdr>
        <w:top w:val="none" w:sz="0" w:space="0" w:color="auto"/>
        <w:left w:val="none" w:sz="0" w:space="0" w:color="auto"/>
        <w:bottom w:val="none" w:sz="0" w:space="0" w:color="auto"/>
        <w:right w:val="none" w:sz="0" w:space="0" w:color="auto"/>
      </w:divBdr>
    </w:div>
    <w:div w:id="2033071686">
      <w:bodyDiv w:val="1"/>
      <w:marLeft w:val="0"/>
      <w:marRight w:val="0"/>
      <w:marTop w:val="0"/>
      <w:marBottom w:val="0"/>
      <w:divBdr>
        <w:top w:val="none" w:sz="0" w:space="0" w:color="auto"/>
        <w:left w:val="none" w:sz="0" w:space="0" w:color="auto"/>
        <w:bottom w:val="none" w:sz="0" w:space="0" w:color="auto"/>
        <w:right w:val="none" w:sz="0" w:space="0" w:color="auto"/>
      </w:divBdr>
    </w:div>
    <w:div w:id="204421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2.xml><?xml version="1.0" encoding="utf-8"?>
<ds:datastoreItem xmlns:ds="http://schemas.openxmlformats.org/officeDocument/2006/customXml" ds:itemID="{3CC70A75-1C6B-4FAC-A9F6-482A8ABE7D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2192</Words>
  <Characters>12521</Characters>
  <Application>Microsoft Office Word</Application>
  <DocSecurity>0</DocSecurity>
  <Lines>184</Lines>
  <Paragraphs>83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Minsu Jeon</dc:creator>
  <cp:lastModifiedBy>Alisa Nechyporuk</cp:lastModifiedBy>
  <cp:revision>4</cp:revision>
  <dcterms:created xsi:type="dcterms:W3CDTF">2025-08-19T14:22:00Z</dcterms:created>
  <dcterms:modified xsi:type="dcterms:W3CDTF">2025-09-02T10:18:00Z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GrammarlyDocumentId">
    <vt:lpwstr>599d2abd-ef8d-49f1-a474-62d0ff0e1be9</vt:lpwstr>
  </property>
  <property fmtid="{D5CDD505-2E9C-101B-9397-08002B2CF9AE}" pid="5" name="MediaServiceImageTags">
    <vt:lpwstr/>
  </property>
</Properties>
</file>